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i/>
        </w:rPr>
        <w:id w:val="-1827816397"/>
        <w:docPartObj>
          <w:docPartGallery w:val="Cover Pages"/>
          <w:docPartUnique/>
        </w:docPartObj>
      </w:sdtPr>
      <w:sdtEndPr>
        <w:rPr>
          <w:rFonts w:asciiTheme="minorHAnsi" w:hAnsiTheme="minorHAnsi"/>
        </w:rPr>
      </w:sdtEndPr>
      <w:sdtContent>
        <w:p w14:paraId="492AD613" w14:textId="77777777" w:rsidR="006145A3" w:rsidRDefault="006145A3" w:rsidP="003E4CEC">
          <w:pPr>
            <w:ind w:left="-993"/>
            <w:rPr>
              <w:rFonts w:ascii="Times New Roman" w:hAnsi="Times New Roman"/>
            </w:rPr>
            <w:sectPr w:rsidR="006145A3" w:rsidSect="00CA5B8D">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code="9"/>
              <w:pgMar w:top="1814" w:right="2268" w:bottom="1758" w:left="2268" w:header="1247" w:footer="1020" w:gutter="0"/>
              <w:cols w:space="708"/>
              <w:titlePg/>
              <w:docGrid w:linePitch="360"/>
            </w:sectPr>
          </w:pPr>
        </w:p>
        <w:p w14:paraId="0B63825A" w14:textId="77777777" w:rsidR="006145A3" w:rsidRPr="00EE3A99" w:rsidRDefault="006145A3" w:rsidP="003E4CEC">
          <w:pPr>
            <w:rPr>
              <w:rFonts w:ascii="Times New Roman" w:hAnsi="Times New Roman"/>
            </w:rPr>
          </w:pPr>
          <w:r>
            <w:rPr>
              <w:noProof/>
              <w:lang w:eastAsia="en-GB"/>
            </w:rPr>
            <mc:AlternateContent>
              <mc:Choice Requires="wps">
                <w:drawing>
                  <wp:anchor distT="0" distB="0" distL="114300" distR="114300" simplePos="0" relativeHeight="251662336" behindDoc="0" locked="1" layoutInCell="1" allowOverlap="1" wp14:anchorId="0FBC5E98" wp14:editId="488593E2">
                    <wp:simplePos x="0" y="0"/>
                    <wp:positionH relativeFrom="margin">
                      <wp:align>center</wp:align>
                    </wp:positionH>
                    <wp:positionV relativeFrom="page">
                      <wp:posOffset>260985</wp:posOffset>
                    </wp:positionV>
                    <wp:extent cx="5457190" cy="9701530"/>
                    <wp:effectExtent l="0" t="0" r="0" b="0"/>
                    <wp:wrapNone/>
                    <wp:docPr id="1" name="Text Box 1"/>
                    <wp:cNvGraphicFramePr/>
                    <a:graphic xmlns:a="http://schemas.openxmlformats.org/drawingml/2006/main">
                      <a:graphicData uri="http://schemas.microsoft.com/office/word/2010/wordprocessingShape">
                        <wps:wsp>
                          <wps:cNvSpPr txBox="1"/>
                          <wps:spPr>
                            <a:xfrm>
                              <a:off x="0" y="0"/>
                              <a:ext cx="5457190" cy="9701530"/>
                            </a:xfrm>
                            <a:prstGeom prst="rect">
                              <a:avLst/>
                            </a:prstGeom>
                            <a:solidFill>
                              <a:schemeClr val="bg1"/>
                            </a:solidFill>
                            <a:ln w="6350">
                              <a:noFill/>
                            </a:ln>
                          </wps:spPr>
                          <wps:txbx>
                            <w:txbxContent>
                              <w:sdt>
                                <w:sdtPr>
                                  <w:rPr>
                                    <w:noProof/>
                                    <w:lang w:eastAsia="ko-KR"/>
                                  </w:rPr>
                                  <w:alias w:val="OECD logo"/>
                                  <w:tag w:val="imgOECDLogo"/>
                                  <w:id w:val="1302034775"/>
                                  <w:lock w:val="contentLocked"/>
                                  <w:picture/>
                                </w:sdtPr>
                                <w:sdtEndPr/>
                                <w:sdtContent>
                                  <w:p w14:paraId="7E93C95B" w14:textId="77777777" w:rsidR="00802DDB" w:rsidRDefault="00802DDB" w:rsidP="003E4CEC">
                                    <w:pPr>
                                      <w:pStyle w:val="CoverNormal"/>
                                      <w:rPr>
                                        <w:noProof/>
                                        <w:lang w:eastAsia="ko-KR"/>
                                      </w:rPr>
                                    </w:pPr>
                                    <w:r>
                                      <w:rPr>
                                        <w:noProof/>
                                        <w:lang w:eastAsia="en-GB"/>
                                      </w:rPr>
                                      <w:drawing>
                                        <wp:inline distT="0" distB="0" distL="0" distR="0" wp14:anchorId="1F2244EC" wp14:editId="00BAC703">
                                          <wp:extent cx="1641361" cy="392567"/>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641361" cy="392567"/>
                                                  </a:xfrm>
                                                  <a:prstGeom prst="rect">
                                                    <a:avLst/>
                                                  </a:prstGeom>
                                                  <a:noFill/>
                                                  <a:ln>
                                                    <a:noFill/>
                                                  </a:ln>
                                                </pic:spPr>
                                              </pic:pic>
                                            </a:graphicData>
                                          </a:graphic>
                                        </wp:inline>
                                      </w:drawing>
                                    </w:r>
                                  </w:p>
                                </w:sdtContent>
                              </w:sdt>
                              <w:sdt>
                                <w:sdtPr>
                                  <w:rPr>
                                    <w:sz w:val="18"/>
                                    <w:szCs w:val="18"/>
                                  </w:rPr>
                                  <w:alias w:val="Organisation Title"/>
                                  <w:tag w:val="txtOrganisationTitle"/>
                                  <w:id w:val="1545710295"/>
                                  <w:lock w:val="contentLocked"/>
                                  <w:text w:multiLine="1"/>
                                </w:sdtPr>
                                <w:sdtEndPr/>
                                <w:sdtContent>
                                  <w:p w14:paraId="06A0B18E" w14:textId="77777777" w:rsidR="00802DDB" w:rsidRDefault="00802DDB" w:rsidP="003E4CEC">
                                    <w:pPr>
                                      <w:pStyle w:val="CoverNormal"/>
                                      <w:rPr>
                                        <w:sz w:val="18"/>
                                        <w:szCs w:val="18"/>
                                      </w:rPr>
                                    </w:pPr>
                                    <w:r w:rsidRPr="00766835">
                                      <w:rPr>
                                        <w:sz w:val="18"/>
                                        <w:szCs w:val="18"/>
                                      </w:rPr>
                                      <w:t>Organisation for Economic Co-operation and Development</w:t>
                                    </w:r>
                                  </w:p>
                                </w:sdtContent>
                              </w:sdt>
                              <w:p w14:paraId="5DC8540C" w14:textId="77777777" w:rsidR="00802DDB" w:rsidRDefault="008D0BBE" w:rsidP="003E4CEC">
                                <w:pPr>
                                  <w:pStyle w:val="CoverNormal"/>
                                  <w:spacing w:after="240"/>
                                  <w:jc w:val="right"/>
                                  <w:rPr>
                                    <w:rStyle w:val="CoverCote"/>
                                  </w:rPr>
                                </w:pPr>
                                <w:sdt>
                                  <w:sdtPr>
                                    <w:rPr>
                                      <w:rStyle w:val="CoverCote"/>
                                      <w:highlight w:val="yellow"/>
                                    </w:rPr>
                                    <w:alias w:val="Document Cote"/>
                                    <w:tag w:val="txtDocCote"/>
                                    <w:id w:val="1746685331"/>
                                    <w:dataBinding w:prefixMappings="xmlns:ns0='http://purl.org/dc/elements/1.1/' xmlns:ns1='http://schemas.openxmlformats.org/package/2006/metadata/core-properties' " w:xpath="/ns1:coreProperties[1]/ns1:keywords[1]" w:storeItemID="{6C3C8BC8-F283-45AE-878A-BAB7291924A1}"/>
                                    <w:text/>
                                  </w:sdtPr>
                                  <w:sdtEndPr>
                                    <w:rPr>
                                      <w:rStyle w:val="CoverCote"/>
                                    </w:rPr>
                                  </w:sdtEndPr>
                                  <w:sdtContent>
                                    <w:r w:rsidR="00802DDB">
                                      <w:rPr>
                                        <w:rStyle w:val="CoverCote"/>
                                        <w:highlight w:val="yellow"/>
                                      </w:rPr>
                                      <w:t>DOCUMENT CODE</w:t>
                                    </w:r>
                                  </w:sdtContent>
                                </w:sdt>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4148"/>
                                  <w:gridCol w:w="4148"/>
                                </w:tblGrid>
                                <w:tr w:rsidR="00802DDB" w14:paraId="5845445B" w14:textId="77777777" w:rsidTr="003D0145">
                                  <w:sdt>
                                    <w:sdtPr>
                                      <w:alias w:val="Document Classification"/>
                                      <w:tag w:val="comboDocClassification"/>
                                      <w:id w:val="1357470417"/>
                                      <w:comboBox>
                                        <w:listItem w:displayText="For Official Use" w:value="FOROFFICIALUSE"/>
                                        <w:listItem w:displayText="Confidential" w:value="CONFIDENTIAL"/>
                                        <w:listItem w:displayText="Unclassified" w:value="UNCLASSIFIED"/>
                                        <w:listItem w:displayText="À usage officiel" w:value="FOROFFICIALUSEFR"/>
                                        <w:listItem w:displayText="Confidentiel" w:value="CONFIDENTIALFR"/>
                                        <w:listItem w:displayText="Non classifié" w:value="UNCLASSIFIEDFR"/>
                                      </w:comboBox>
                                    </w:sdtPr>
                                    <w:sdtEndPr/>
                                    <w:sdtContent>
                                      <w:tc>
                                        <w:tcPr>
                                          <w:tcW w:w="2500" w:type="pct"/>
                                        </w:tcPr>
                                        <w:p w14:paraId="694D4ACA" w14:textId="77777777" w:rsidR="00802DDB" w:rsidRDefault="00802DDB" w:rsidP="003E4CEC">
                                          <w:pPr>
                                            <w:pStyle w:val="CoverClassification"/>
                                          </w:pPr>
                                          <w:r>
                                            <w:t>Unclassified</w:t>
                                          </w:r>
                                        </w:p>
                                      </w:tc>
                                    </w:sdtContent>
                                  </w:sdt>
                                  <w:sdt>
                                    <w:sdtPr>
                                      <w:alias w:val="Document Language"/>
                                      <w:tag w:val="comboDocumentLanguage"/>
                                      <w:id w:val="1362630962"/>
                                      <w:comboBox>
                                        <w:listItem w:displayText="English - Or. English" w:value="English"/>
                                        <w:listItem w:displayText="English - Or. French" w:value="English2"/>
                                        <w:listItem w:displayText="English/French" w:value="English3"/>
                                        <w:listItem w:displayText="English text only" w:value="English4"/>
                                        <w:listItem w:displayText="Français - Or. Français" w:value="French"/>
                                        <w:listItem w:displayText="Français - Or. Anglais" w:value="French2"/>
                                        <w:listItem w:displayText="Français/Anglais" w:value="French3"/>
                                        <w:listItem w:displayText="Texte français seulement" w:value="French4"/>
                                        <w:listItem w:displayText="Italian - Or. English" w:value="Italian"/>
                                        <w:listItem w:displayText="Russian - Or. English" w:value="Russian"/>
                                        <w:listItem w:displayText="Spanish - Or. English" w:value="Spanish"/>
                                        <w:listItem w:displayText="German - Or. English" w:value="German"/>
                                        <w:listItem w:displayText="Italian - Or. French" w:value="Italian1"/>
                                        <w:listItem w:displayText="Russian - Or. French" w:value="Russian1"/>
                                        <w:listItem w:displayText="Spanish - Or. French" w:value="Spanish1"/>
                                        <w:listItem w:displayText="German - Or. French" w:value="German1"/>
                                      </w:comboBox>
                                    </w:sdtPr>
                                    <w:sdtEndPr/>
                                    <w:sdtContent>
                                      <w:tc>
                                        <w:tcPr>
                                          <w:tcW w:w="2500" w:type="pct"/>
                                        </w:tcPr>
                                        <w:p w14:paraId="553B1FF1" w14:textId="77777777" w:rsidR="00802DDB" w:rsidRDefault="00802DDB" w:rsidP="003E4CEC">
                                          <w:pPr>
                                            <w:pStyle w:val="CoverLanguage"/>
                                          </w:pPr>
                                          <w:r>
                                            <w:t>English text only</w:t>
                                          </w:r>
                                        </w:p>
                                      </w:tc>
                                    </w:sdtContent>
                                  </w:sdt>
                                </w:tr>
                              </w:tbl>
                              <w:sdt>
                                <w:sdtPr>
                                  <w:alias w:val="Document Date"/>
                                  <w:tag w:val="txtDocDate"/>
                                  <w:id w:val="-472437645"/>
                                  <w:lock w:val="contentLocked"/>
                                  <w:date>
                                    <w:dateFormat w:val="d MMMM yyyy"/>
                                    <w:lid w:val="en-US"/>
                                    <w:storeMappedDataAs w:val="dateTime"/>
                                    <w:calendar w:val="gregorian"/>
                                  </w:date>
                                </w:sdtPr>
                                <w:sdtEndPr/>
                                <w:sdtContent>
                                  <w:p w14:paraId="745C2ECC" w14:textId="77777777" w:rsidR="00802DDB" w:rsidRDefault="00802DDB" w:rsidP="003E4CEC">
                                    <w:pPr>
                                      <w:pStyle w:val="CoverDate"/>
                                    </w:pPr>
                                    <w:r>
                                      <w:t xml:space="preserve"> </w:t>
                                    </w:r>
                                  </w:p>
                                </w:sdtContent>
                              </w:sdt>
                              <w:sdt>
                                <w:sdtPr>
                                  <w:alias w:val="Directorate"/>
                                  <w:tag w:val="txtDirectorate"/>
                                  <w:id w:val="-1760133019"/>
                                  <w:lock w:val="contentLocked"/>
                                </w:sdtPr>
                                <w:sdtEndPr/>
                                <w:sdtContent>
                                  <w:p w14:paraId="0F7C3CDA" w14:textId="77777777" w:rsidR="00802DDB" w:rsidRDefault="00802DDB" w:rsidP="003E4CEC">
                                    <w:pPr>
                                      <w:pStyle w:val="CoverDirectorate"/>
                                    </w:pPr>
                                    <w:r>
                                      <w:t xml:space="preserve"> </w:t>
                                    </w:r>
                                  </w:p>
                                </w:sdtContent>
                              </w:sdt>
                              <w:sdt>
                                <w:sdtPr>
                                  <w:alias w:val="Committee"/>
                                  <w:tag w:val="txtCommittee"/>
                                  <w:id w:val="58447870"/>
                                  <w:lock w:val="contentLocked"/>
                                </w:sdtPr>
                                <w:sdtEndPr/>
                                <w:sdtContent>
                                  <w:p w14:paraId="2C372AAC" w14:textId="77777777" w:rsidR="00802DDB" w:rsidRDefault="00802DDB" w:rsidP="003E4CEC">
                                    <w:pPr>
                                      <w:pStyle w:val="CoverCommittee"/>
                                    </w:pPr>
                                    <w:r>
                                      <w:t xml:space="preserve"> </w:t>
                                    </w:r>
                                  </w:p>
                                </w:sdtContent>
                              </w:sdt>
                              <w:p w14:paraId="5B6CDA28" w14:textId="77777777" w:rsidR="00802DDB" w:rsidRDefault="00802DDB" w:rsidP="003E4CEC">
                                <w:pPr>
                                  <w:pStyle w:val="CoverNormal"/>
                                </w:pPr>
                              </w:p>
                              <w:p w14:paraId="79FA09EB" w14:textId="77777777" w:rsidR="00802DDB" w:rsidRDefault="00802DDB" w:rsidP="003E4CEC">
                                <w:pPr>
                                  <w:pStyle w:val="CoverNormal"/>
                                </w:pPr>
                              </w:p>
                              <w:sdt>
                                <w:sdtPr>
                                  <w:alias w:val="Cancel / Replace"/>
                                  <w:tag w:val="txtCancelReplace"/>
                                  <w:id w:val="-1515916310"/>
                                  <w:lock w:val="contentLocked"/>
                                </w:sdtPr>
                                <w:sdtEndPr/>
                                <w:sdtContent>
                                  <w:p w14:paraId="085B70F7" w14:textId="77777777" w:rsidR="00802DDB" w:rsidRDefault="00802DDB" w:rsidP="003E4CEC">
                                    <w:pPr>
                                      <w:pStyle w:val="CoverCancel"/>
                                    </w:pPr>
                                    <w:r>
                                      <w:t xml:space="preserve"> </w:t>
                                    </w:r>
                                  </w:p>
                                </w:sdtContent>
                              </w:sdt>
                              <w:p w14:paraId="3709591F" w14:textId="77777777" w:rsidR="00802DDB" w:rsidRDefault="00802DDB" w:rsidP="003E4CEC">
                                <w:pPr>
                                  <w:pStyle w:val="CoverNormal"/>
                                </w:pPr>
                              </w:p>
                              <w:p w14:paraId="7CACC63C" w14:textId="77777777" w:rsidR="00802DDB" w:rsidRDefault="00802DDB" w:rsidP="003E4CEC">
                                <w:pPr>
                                  <w:pStyle w:val="CoverNormal"/>
                                </w:pPr>
                              </w:p>
                              <w:sdt>
                                <w:sdtPr>
                                  <w:alias w:val="Working Party"/>
                                  <w:tag w:val="txtWorkingParty"/>
                                  <w:id w:val="-1050841479"/>
                                  <w:lock w:val="contentLocked"/>
                                </w:sdtPr>
                                <w:sdtEndPr/>
                                <w:sdtContent>
                                  <w:p w14:paraId="0B3DF30C" w14:textId="77777777" w:rsidR="00802DDB" w:rsidRDefault="00802DDB" w:rsidP="003E4CEC">
                                    <w:pPr>
                                      <w:pStyle w:val="CoverWorkingParty"/>
                                    </w:pPr>
                                    <w:r>
                                      <w:t xml:space="preserve"> </w:t>
                                    </w:r>
                                  </w:p>
                                </w:sdtContent>
                              </w:sdt>
                              <w:p w14:paraId="62A1C197" w14:textId="77777777" w:rsidR="00802DDB" w:rsidRDefault="00802DDB" w:rsidP="003E4CEC">
                                <w:pPr>
                                  <w:pStyle w:val="CoverNormal"/>
                                </w:pPr>
                              </w:p>
                              <w:p w14:paraId="170EB48E" w14:textId="1FFD2E54" w:rsidR="00802DDB" w:rsidRDefault="00802DDB" w:rsidP="005C35BB">
                                <w:pPr>
                                  <w:pStyle w:val="CoverNormal"/>
                                  <w:jc w:val="center"/>
                                  <w:rPr>
                                    <w:b/>
                                    <w:sz w:val="36"/>
                                    <w:szCs w:val="36"/>
                                  </w:rPr>
                                </w:pPr>
                                <w:r w:rsidRPr="005C35BB">
                                  <w:rPr>
                                    <w:b/>
                                    <w:sz w:val="36"/>
                                    <w:szCs w:val="36"/>
                                  </w:rPr>
                                  <w:t>D R A F T</w:t>
                                </w:r>
                              </w:p>
                              <w:p w14:paraId="66D54D23" w14:textId="77777777" w:rsidR="00802DDB" w:rsidRPr="005C35BB" w:rsidRDefault="00802DDB" w:rsidP="003E4CEC">
                                <w:pPr>
                                  <w:pStyle w:val="CoverNormal"/>
                                  <w:rPr>
                                    <w:sz w:val="36"/>
                                    <w:szCs w:val="36"/>
                                  </w:rPr>
                                </w:pPr>
                              </w:p>
                              <w:p w14:paraId="2A315FAA" w14:textId="77777777" w:rsidR="00802DDB" w:rsidRDefault="008D0BBE" w:rsidP="003E4CEC">
                                <w:pPr>
                                  <w:pStyle w:val="CoverTitle"/>
                                </w:pPr>
                                <w:sdt>
                                  <w:sdtPr>
                                    <w:alias w:val="Document Title"/>
                                    <w:tag w:val="txtDocTitle"/>
                                    <w:id w:val="2101223714"/>
                                    <w:dataBinding w:prefixMappings="xmlns:ns0='http://purl.org/dc/elements/1.1/' xmlns:ns1='http://schemas.openxmlformats.org/package/2006/metadata/core-properties' " w:xpath="/ns1:coreProperties[1]/ns0:title[1]" w:storeItemID="{6C3C8BC8-F283-45AE-878A-BAB7291924A1}"/>
                                    <w:text/>
                                  </w:sdtPr>
                                  <w:sdtEndPr/>
                                  <w:sdtContent>
                                    <w:r w:rsidR="00802DDB" w:rsidRPr="00BE7182">
                                      <w:t>Learning in Indigenous Languages: Common Ground, Diverse Pathways</w:t>
                                    </w:r>
                                  </w:sdtContent>
                                </w:sdt>
                              </w:p>
                              <w:p w14:paraId="432FB973" w14:textId="77777777" w:rsidR="00802DDB" w:rsidRDefault="008D0BBE" w:rsidP="003E4CEC">
                                <w:pPr>
                                  <w:pStyle w:val="CoverSubTitle"/>
                                </w:pPr>
                                <w:sdt>
                                  <w:sdtPr>
                                    <w:rPr>
                                      <w:highlight w:val="yellow"/>
                                    </w:rPr>
                                    <w:alias w:val="Document Subtitle"/>
                                    <w:tag w:val="txtDocSubtitle"/>
                                    <w:id w:val="1704129671"/>
                                    <w:dataBinding w:prefixMappings="xmlns:ns0='http://purl.org/dc/elements/1.1/' xmlns:ns1='http://schemas.openxmlformats.org/package/2006/metadata/core-properties' " w:xpath="/ns1:coreProperties[1]/ns0:subject[1]" w:storeItemID="{6C3C8BC8-F283-45AE-878A-BAB7291924A1}"/>
                                    <w:text w:multiLine="1"/>
                                  </w:sdtPr>
                                  <w:sdtEndPr/>
                                  <w:sdtContent>
                                    <w:r w:rsidR="00802DDB" w:rsidRPr="00A10A97">
                                      <w:rPr>
                                        <w:highlight w:val="yellow"/>
                                      </w:rPr>
                                      <w:t>OECD Education Working Paper No. XX</w:t>
                                    </w:r>
                                    <w:r w:rsidR="00802DDB">
                                      <w:rPr>
                                        <w:highlight w:val="yellow"/>
                                      </w:rPr>
                                      <w:t>X</w:t>
                                    </w:r>
                                  </w:sdtContent>
                                </w:sdt>
                              </w:p>
                              <w:p w14:paraId="18EA4F90" w14:textId="77777777" w:rsidR="00802DDB" w:rsidRDefault="00802DDB" w:rsidP="003E4CEC">
                                <w:pPr>
                                  <w:pStyle w:val="CoverNormal"/>
                                </w:pPr>
                              </w:p>
                              <w:p w14:paraId="6FFB1888" w14:textId="77777777" w:rsidR="00802DDB" w:rsidRDefault="00802DDB" w:rsidP="003E4CEC">
                                <w:pPr>
                                  <w:pStyle w:val="CoverNormal"/>
                                </w:pPr>
                              </w:p>
                              <w:sdt>
                                <w:sdtPr>
                                  <w:alias w:val="Meeting Information"/>
                                  <w:tag w:val="txtInfomationMeeting"/>
                                  <w:id w:val="981583264"/>
                                </w:sdtPr>
                                <w:sdtEndPr/>
                                <w:sdtContent>
                                  <w:p w14:paraId="0EE915B7" w14:textId="77777777" w:rsidR="00802DDB" w:rsidRDefault="00802DDB" w:rsidP="003E4CEC">
                                    <w:pPr>
                                      <w:pStyle w:val="CoverInformation"/>
                                    </w:pPr>
                                    <w:r w:rsidRPr="00027AE8">
                                      <w:t>Denise Angelo, Samantha Disbray, Ruth Singer, Carmel O'Shannessy, Jane Simpson, Hilary Smith, Barbra Meek and Gillian</w:t>
                                    </w:r>
                                    <w:r>
                                      <w:t xml:space="preserve"> Wigglesworth</w:t>
                                    </w:r>
                                  </w:p>
                                </w:sdtContent>
                              </w:sdt>
                              <w:p w14:paraId="1EF2CE25" w14:textId="77777777" w:rsidR="00802DDB" w:rsidRDefault="00802DDB" w:rsidP="003E4CEC">
                                <w:pPr>
                                  <w:pStyle w:val="CoverNormal"/>
                                </w:pPr>
                              </w:p>
                              <w:p w14:paraId="63DB31EA" w14:textId="77777777" w:rsidR="00802DDB" w:rsidRDefault="00802DDB" w:rsidP="003E4CEC">
                                <w:pPr>
                                  <w:pStyle w:val="CoverNormal"/>
                                </w:pPr>
                              </w:p>
                              <w:tbl>
                                <w:tblPr>
                                  <w:tblW w:w="5090" w:type="pct"/>
                                  <w:jc w:val="center"/>
                                  <w:tblCellMar>
                                    <w:left w:w="85" w:type="dxa"/>
                                    <w:right w:w="85" w:type="dxa"/>
                                  </w:tblCellMar>
                                  <w:tblLook w:val="04A0" w:firstRow="1" w:lastRow="0" w:firstColumn="1" w:lastColumn="0" w:noHBand="0" w:noVBand="1"/>
                                </w:tblPr>
                                <w:tblGrid>
                                  <w:gridCol w:w="8445"/>
                                </w:tblGrid>
                                <w:sdt>
                                  <w:sdtPr>
                                    <w:rPr>
                                      <w:rFonts w:eastAsiaTheme="minorEastAsia"/>
                                      <w:b/>
                                      <w:lang w:eastAsia="ko-KR"/>
                                    </w:rPr>
                                    <w:alias w:val="Information Note"/>
                                    <w:tag w:val="txtInformationNote"/>
                                    <w:id w:val="-262693240"/>
                                  </w:sdtPr>
                                  <w:sdtEndPr/>
                                  <w:sdtContent>
                                    <w:tr w:rsidR="00802DDB" w14:paraId="62108C12" w14:textId="77777777" w:rsidTr="003E4CEC">
                                      <w:trPr>
                                        <w:trHeight w:val="3368"/>
                                        <w:jc w:val="center"/>
                                      </w:trPr>
                                      <w:tc>
                                        <w:tcPr>
                                          <w:tcW w:w="5000" w:type="pct"/>
                                        </w:tcPr>
                                        <w:p w14:paraId="6B16BAFE" w14:textId="22BD14EC" w:rsidR="00802DDB" w:rsidRPr="008D0BBE" w:rsidRDefault="008D0BBE" w:rsidP="008D0BBE">
                                          <w:pPr>
                                            <w:pStyle w:val="CoverInformation"/>
                                            <w:rPr>
                                              <w:b/>
                                            </w:rPr>
                                          </w:pPr>
                                          <w:r w:rsidRPr="008D0BBE">
                                            <w:rPr>
                                              <w:rFonts w:eastAsiaTheme="minorEastAsia"/>
                                              <w:b/>
                                              <w:lang w:eastAsia="ko-KR"/>
                                            </w:rPr>
                                            <w:t xml:space="preserve">DRAFT: Please return comments </w:t>
                                          </w:r>
                                          <w:r>
                                            <w:rPr>
                                              <w:rFonts w:eastAsiaTheme="minorEastAsia"/>
                                              <w:b/>
                                              <w:lang w:eastAsia="ko-KR"/>
                                            </w:rPr>
                                            <w:t xml:space="preserve">on this draft paper </w:t>
                                          </w:r>
                                          <w:bookmarkStart w:id="0" w:name="_GoBack"/>
                                          <w:bookmarkEnd w:id="0"/>
                                          <w:r w:rsidRPr="008D0BBE">
                                            <w:rPr>
                                              <w:rFonts w:eastAsiaTheme="minorEastAsia"/>
                                              <w:b/>
                                              <w:lang w:eastAsia="ko-KR"/>
                                            </w:rPr>
                                            <w:t>to Rowena Phair, OECD Secretariat (</w:t>
                                          </w:r>
                                          <w:hyperlink r:id="rId15" w:history="1">
                                            <w:r w:rsidRPr="008D0BBE">
                                              <w:rPr>
                                                <w:rStyle w:val="Hyperlink"/>
                                                <w:rFonts w:eastAsiaTheme="minorEastAsia"/>
                                                <w:b/>
                                                <w:lang w:eastAsia="ko-KR"/>
                                              </w:rPr>
                                              <w:t>Rowena.Phair@oecd.org</w:t>
                                            </w:r>
                                          </w:hyperlink>
                                          <w:r w:rsidRPr="008D0BBE">
                                            <w:rPr>
                                              <w:rFonts w:eastAsiaTheme="minorEastAsia"/>
                                              <w:b/>
                                              <w:lang w:eastAsia="ko-KR"/>
                                            </w:rPr>
                                            <w:t xml:space="preserve">) by </w:t>
                                          </w:r>
                                          <w:r w:rsidRPr="008D0BBE">
                                            <w:rPr>
                                              <w:rFonts w:eastAsiaTheme="minorEastAsia"/>
                                              <w:b/>
                                              <w:u w:val="single"/>
                                              <w:lang w:eastAsia="ko-KR"/>
                                            </w:rPr>
                                            <w:t>Friday, 15 April 2022</w:t>
                                          </w:r>
                                          <w:r w:rsidRPr="008D0BBE">
                                            <w:rPr>
                                              <w:rFonts w:eastAsiaTheme="minorEastAsia"/>
                                              <w:b/>
                                              <w:lang w:eastAsia="ko-KR"/>
                                            </w:rPr>
                                            <w:t xml:space="preserve">. </w:t>
                                          </w:r>
                                        </w:p>
                                      </w:tc>
                                    </w:tr>
                                  </w:sdtContent>
                                </w:sdt>
                              </w:tbl>
                              <w:p w14:paraId="2FDA7AA9" w14:textId="77777777" w:rsidR="00802DDB" w:rsidRDefault="00802DDB" w:rsidP="003E4CEC">
                                <w:pPr>
                                  <w:pStyle w:val="CoverNormal"/>
                                </w:pPr>
                              </w:p>
                              <w:sdt>
                                <w:sdtPr>
                                  <w:alias w:val="Contacts"/>
                                  <w:tag w:val="txtContacts"/>
                                  <w:id w:val="691570990"/>
                                </w:sdtPr>
                                <w:sdtEndPr/>
                                <w:sdtContent>
                                  <w:p w14:paraId="6BA0835A" w14:textId="04DB142F" w:rsidR="00802DDB" w:rsidRDefault="00802DDB" w:rsidP="003E4CEC">
                                    <w:pPr>
                                      <w:pStyle w:val="CoverNormal"/>
                                    </w:pPr>
                                    <w:r>
                                      <w:t xml:space="preserve">Rowena  Phair, </w:t>
                                    </w:r>
                                    <w:hyperlink r:id="rId16" w:history="1">
                                      <w:r w:rsidRPr="004E4894">
                                        <w:rPr>
                                          <w:rStyle w:val="Hyperlink"/>
                                        </w:rPr>
                                        <w:t>Rowena.Phair@oecd.org</w:t>
                                      </w:r>
                                    </w:hyperlink>
                                    <w:r>
                                      <w:t xml:space="preserve"> </w:t>
                                    </w:r>
                                  </w:p>
                                </w:sdtContent>
                              </w:sdt>
                              <w:p w14:paraId="07DC0B5C" w14:textId="77777777" w:rsidR="00802DDB" w:rsidRDefault="00802DDB" w:rsidP="003E4CEC">
                                <w:pPr>
                                  <w:pStyle w:val="CoverNormal"/>
                                </w:pPr>
                              </w:p>
                              <w:p w14:paraId="1FAC7F0C" w14:textId="77777777" w:rsidR="00802DDB" w:rsidRDefault="00802DDB" w:rsidP="003E4CEC">
                                <w:pPr>
                                  <w:pStyle w:val="CoverNormal"/>
                                </w:pPr>
                              </w:p>
                              <w:sdt>
                                <w:sdtPr>
                                  <w:alias w:val="PWB Code"/>
                                  <w:tag w:val="txtPWBCode"/>
                                  <w:id w:val="361092085"/>
                                  <w:lock w:val="contentLocked"/>
                                  <w:text w:multiLine="1"/>
                                </w:sdtPr>
                                <w:sdtEndPr/>
                                <w:sdtContent>
                                  <w:p w14:paraId="3792B2CC" w14:textId="77777777" w:rsidR="00802DDB" w:rsidRDefault="00802DDB" w:rsidP="003E4CEC">
                                    <w:pPr>
                                      <w:pStyle w:val="CoverPwbCode"/>
                                    </w:pPr>
                                    <w:r>
                                      <w:t xml:space="preserve"> </w:t>
                                    </w:r>
                                  </w:p>
                                </w:sdtContent>
                              </w:sdt>
                              <w:sdt>
                                <w:sdtPr>
                                  <w:alias w:val="JT Number"/>
                                  <w:tag w:val="txtJobNumber"/>
                                  <w:id w:val="-1255438158"/>
                                  <w:lock w:val="contentLocked"/>
                                  <w:text/>
                                </w:sdtPr>
                                <w:sdtEndPr/>
                                <w:sdtContent>
                                  <w:p w14:paraId="11E201DF" w14:textId="77777777" w:rsidR="00802DDB" w:rsidRDefault="00802DDB" w:rsidP="003E4CEC">
                                    <w:pPr>
                                      <w:pStyle w:val="CoverJobTicket"/>
                                    </w:pPr>
                                    <w:r w:rsidRPr="00310112">
                                      <w:t xml:space="preserve"> </w:t>
                                    </w:r>
                                  </w:p>
                                </w:sdtContent>
                              </w:sdt>
                              <w:sdt>
                                <w:sdtPr>
                                  <w:rPr>
                                    <w:color w:val="FFFFFF" w:themeColor="background1"/>
                                  </w:rPr>
                                  <w:alias w:val="cvpname"/>
                                  <w:tag w:val="txtcvpname"/>
                                  <w:id w:val="-2099237191"/>
                                </w:sdtPr>
                                <w:sdtEndPr/>
                                <w:sdtContent>
                                  <w:p w14:paraId="266E7F9C" w14:textId="77777777" w:rsidR="00802DDB" w:rsidRDefault="00802DDB" w:rsidP="003E4CEC">
                                    <w:pPr>
                                      <w:pStyle w:val="CoverNormal"/>
                                      <w:rPr>
                                        <w:color w:val="FFFFFF" w:themeColor="background1"/>
                                      </w:rPr>
                                    </w:pPr>
                                    <w:r w:rsidRPr="00D06B7E">
                                      <w:rPr>
                                        <w:color w:val="FFFFFF" w:themeColor="background1"/>
                                      </w:rPr>
                                      <w:t>OFDE</w:t>
                                    </w:r>
                                  </w:p>
                                </w:sdtContent>
                              </w:sdt>
                              <w:p w14:paraId="782254F7" w14:textId="77777777" w:rsidR="00802DDB" w:rsidRPr="00310112" w:rsidRDefault="00802DDB" w:rsidP="003E4CEC">
                                <w:pPr>
                                  <w:pStyle w:val="CoverNorma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BC5E98" id="_x0000_t202" coordsize="21600,21600" o:spt="202" path="m,l,21600r21600,l21600,xe">
                    <v:stroke joinstyle="miter"/>
                    <v:path gradientshapeok="t" o:connecttype="rect"/>
                  </v:shapetype>
                  <v:shape id="Text Box 1" o:spid="_x0000_s1026" type="#_x0000_t202" style="position:absolute;left:0;text-align:left;margin-left:0;margin-top:20.55pt;width:429.7pt;height:763.9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" fillcolor="white [3212]" stroked="f" strokeweight=".5pt">
                    <v:textbox>
                      <w:txbxContent>
                        <w:sdt>
                          <w:sdtPr>
                            <w:rPr>
                              <w:noProof/>
                              <w:lang w:eastAsia="ko-KR"/>
                            </w:rPr>
                            <w:alias w:val="OECD logo"/>
                            <w:tag w:val="imgOECDLogo"/>
                            <w:id w:val="1302034775"/>
                            <w:lock w:val="contentLocked"/>
                            <w:picture/>
                          </w:sdtPr>
                          <w:sdtEndPr/>
                          <w:sdtContent>
                            <w:p w14:paraId="7E93C95B" w14:textId="77777777" w:rsidR="00802DDB" w:rsidRDefault="00802DDB" w:rsidP="003E4CEC">
                              <w:pPr>
                                <w:pStyle w:val="CoverNormal"/>
                                <w:rPr>
                                  <w:noProof/>
                                  <w:lang w:eastAsia="ko-KR"/>
                                </w:rPr>
                              </w:pPr>
                              <w:r>
                                <w:rPr>
                                  <w:noProof/>
                                  <w:lang w:eastAsia="en-GB"/>
                                </w:rPr>
                                <w:drawing>
                                  <wp:inline distT="0" distB="0" distL="0" distR="0" wp14:anchorId="1F2244EC" wp14:editId="00BAC703">
                                    <wp:extent cx="1641361" cy="392567"/>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641361" cy="392567"/>
                                            </a:xfrm>
                                            <a:prstGeom prst="rect">
                                              <a:avLst/>
                                            </a:prstGeom>
                                            <a:noFill/>
                                            <a:ln>
                                              <a:noFill/>
                                            </a:ln>
                                          </pic:spPr>
                                        </pic:pic>
                                      </a:graphicData>
                                    </a:graphic>
                                  </wp:inline>
                                </w:drawing>
                              </w:r>
                            </w:p>
                          </w:sdtContent>
                        </w:sdt>
                        <w:sdt>
                          <w:sdtPr>
                            <w:rPr>
                              <w:sz w:val="18"/>
                              <w:szCs w:val="18"/>
                            </w:rPr>
                            <w:alias w:val="Organisation Title"/>
                            <w:tag w:val="txtOrganisationTitle"/>
                            <w:id w:val="1545710295"/>
                            <w:lock w:val="contentLocked"/>
                            <w:text w:multiLine="1"/>
                          </w:sdtPr>
                          <w:sdtEndPr/>
                          <w:sdtContent>
                            <w:p w14:paraId="06A0B18E" w14:textId="77777777" w:rsidR="00802DDB" w:rsidRDefault="00802DDB" w:rsidP="003E4CEC">
                              <w:pPr>
                                <w:pStyle w:val="CoverNormal"/>
                                <w:rPr>
                                  <w:sz w:val="18"/>
                                  <w:szCs w:val="18"/>
                                </w:rPr>
                              </w:pPr>
                              <w:r w:rsidRPr="00766835">
                                <w:rPr>
                                  <w:sz w:val="18"/>
                                  <w:szCs w:val="18"/>
                                </w:rPr>
                                <w:t>Organisation for Economic Co-operation and Development</w:t>
                              </w:r>
                            </w:p>
                          </w:sdtContent>
                        </w:sdt>
                        <w:p w14:paraId="5DC8540C" w14:textId="77777777" w:rsidR="00802DDB" w:rsidRDefault="008D0BBE" w:rsidP="003E4CEC">
                          <w:pPr>
                            <w:pStyle w:val="CoverNormal"/>
                            <w:spacing w:after="240"/>
                            <w:jc w:val="right"/>
                            <w:rPr>
                              <w:rStyle w:val="CoverCote"/>
                            </w:rPr>
                          </w:pPr>
                          <w:sdt>
                            <w:sdtPr>
                              <w:rPr>
                                <w:rStyle w:val="CoverCote"/>
                                <w:highlight w:val="yellow"/>
                              </w:rPr>
                              <w:alias w:val="Document Cote"/>
                              <w:tag w:val="txtDocCote"/>
                              <w:id w:val="1746685331"/>
                              <w:dataBinding w:prefixMappings="xmlns:ns0='http://purl.org/dc/elements/1.1/' xmlns:ns1='http://schemas.openxmlformats.org/package/2006/metadata/core-properties' " w:xpath="/ns1:coreProperties[1]/ns1:keywords[1]" w:storeItemID="{6C3C8BC8-F283-45AE-878A-BAB7291924A1}"/>
                              <w:text/>
                            </w:sdtPr>
                            <w:sdtEndPr>
                              <w:rPr>
                                <w:rStyle w:val="CoverCote"/>
                              </w:rPr>
                            </w:sdtEndPr>
                            <w:sdtContent>
                              <w:r w:rsidR="00802DDB">
                                <w:rPr>
                                  <w:rStyle w:val="CoverCote"/>
                                  <w:highlight w:val="yellow"/>
                                </w:rPr>
                                <w:t>DOCUMENT CODE</w:t>
                              </w:r>
                            </w:sdtContent>
                          </w:sdt>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4148"/>
                            <w:gridCol w:w="4148"/>
                          </w:tblGrid>
                          <w:tr w:rsidR="00802DDB" w14:paraId="5845445B" w14:textId="77777777" w:rsidTr="003D0145">
                            <w:sdt>
                              <w:sdtPr>
                                <w:alias w:val="Document Classification"/>
                                <w:tag w:val="comboDocClassification"/>
                                <w:id w:val="1357470417"/>
                                <w:comboBox>
                                  <w:listItem w:displayText="For Official Use" w:value="FOROFFICIALUSE"/>
                                  <w:listItem w:displayText="Confidential" w:value="CONFIDENTIAL"/>
                                  <w:listItem w:displayText="Unclassified" w:value="UNCLASSIFIED"/>
                                  <w:listItem w:displayText="À usage officiel" w:value="FOROFFICIALUSEFR"/>
                                  <w:listItem w:displayText="Confidentiel" w:value="CONFIDENTIALFR"/>
                                  <w:listItem w:displayText="Non classifié" w:value="UNCLASSIFIEDFR"/>
                                </w:comboBox>
                              </w:sdtPr>
                              <w:sdtEndPr/>
                              <w:sdtContent>
                                <w:tc>
                                  <w:tcPr>
                                    <w:tcW w:w="2500" w:type="pct"/>
                                  </w:tcPr>
                                  <w:p w14:paraId="694D4ACA" w14:textId="77777777" w:rsidR="00802DDB" w:rsidRDefault="00802DDB" w:rsidP="003E4CEC">
                                    <w:pPr>
                                      <w:pStyle w:val="CoverClassification"/>
                                    </w:pPr>
                                    <w:r>
                                      <w:t>Unclassified</w:t>
                                    </w:r>
                                  </w:p>
                                </w:tc>
                              </w:sdtContent>
                            </w:sdt>
                            <w:sdt>
                              <w:sdtPr>
                                <w:alias w:val="Document Language"/>
                                <w:tag w:val="comboDocumentLanguage"/>
                                <w:id w:val="1362630962"/>
                                <w:comboBox>
                                  <w:listItem w:displayText="English - Or. English" w:value="English"/>
                                  <w:listItem w:displayText="English - Or. French" w:value="English2"/>
                                  <w:listItem w:displayText="English/French" w:value="English3"/>
                                  <w:listItem w:displayText="English text only" w:value="English4"/>
                                  <w:listItem w:displayText="Français - Or. Français" w:value="French"/>
                                  <w:listItem w:displayText="Français - Or. Anglais" w:value="French2"/>
                                  <w:listItem w:displayText="Français/Anglais" w:value="French3"/>
                                  <w:listItem w:displayText="Texte français seulement" w:value="French4"/>
                                  <w:listItem w:displayText="Italian - Or. English" w:value="Italian"/>
                                  <w:listItem w:displayText="Russian - Or. English" w:value="Russian"/>
                                  <w:listItem w:displayText="Spanish - Or. English" w:value="Spanish"/>
                                  <w:listItem w:displayText="German - Or. English" w:value="German"/>
                                  <w:listItem w:displayText="Italian - Or. French" w:value="Italian1"/>
                                  <w:listItem w:displayText="Russian - Or. French" w:value="Russian1"/>
                                  <w:listItem w:displayText="Spanish - Or. French" w:value="Spanish1"/>
                                  <w:listItem w:displayText="German - Or. French" w:value="German1"/>
                                </w:comboBox>
                              </w:sdtPr>
                              <w:sdtEndPr/>
                              <w:sdtContent>
                                <w:tc>
                                  <w:tcPr>
                                    <w:tcW w:w="2500" w:type="pct"/>
                                  </w:tcPr>
                                  <w:p w14:paraId="553B1FF1" w14:textId="77777777" w:rsidR="00802DDB" w:rsidRDefault="00802DDB" w:rsidP="003E4CEC">
                                    <w:pPr>
                                      <w:pStyle w:val="CoverLanguage"/>
                                    </w:pPr>
                                    <w:r>
                                      <w:t>English text only</w:t>
                                    </w:r>
                                  </w:p>
                                </w:tc>
                              </w:sdtContent>
                            </w:sdt>
                          </w:tr>
                        </w:tbl>
                        <w:sdt>
                          <w:sdtPr>
                            <w:alias w:val="Document Date"/>
                            <w:tag w:val="txtDocDate"/>
                            <w:id w:val="-472437645"/>
                            <w:lock w:val="contentLocked"/>
                            <w:date>
                              <w:dateFormat w:val="d MMMM yyyy"/>
                              <w:lid w:val="en-US"/>
                              <w:storeMappedDataAs w:val="dateTime"/>
                              <w:calendar w:val="gregorian"/>
                            </w:date>
                          </w:sdtPr>
                          <w:sdtEndPr/>
                          <w:sdtContent>
                            <w:p w14:paraId="745C2ECC" w14:textId="77777777" w:rsidR="00802DDB" w:rsidRDefault="00802DDB" w:rsidP="003E4CEC">
                              <w:pPr>
                                <w:pStyle w:val="CoverDate"/>
                              </w:pPr>
                              <w:r>
                                <w:t xml:space="preserve"> </w:t>
                              </w:r>
                            </w:p>
                          </w:sdtContent>
                        </w:sdt>
                        <w:sdt>
                          <w:sdtPr>
                            <w:alias w:val="Directorate"/>
                            <w:tag w:val="txtDirectorate"/>
                            <w:id w:val="-1760133019"/>
                            <w:lock w:val="contentLocked"/>
                          </w:sdtPr>
                          <w:sdtEndPr/>
                          <w:sdtContent>
                            <w:p w14:paraId="0F7C3CDA" w14:textId="77777777" w:rsidR="00802DDB" w:rsidRDefault="00802DDB" w:rsidP="003E4CEC">
                              <w:pPr>
                                <w:pStyle w:val="CoverDirectorate"/>
                              </w:pPr>
                              <w:r>
                                <w:t xml:space="preserve"> </w:t>
                              </w:r>
                            </w:p>
                          </w:sdtContent>
                        </w:sdt>
                        <w:sdt>
                          <w:sdtPr>
                            <w:alias w:val="Committee"/>
                            <w:tag w:val="txtCommittee"/>
                            <w:id w:val="58447870"/>
                            <w:lock w:val="contentLocked"/>
                          </w:sdtPr>
                          <w:sdtEndPr/>
                          <w:sdtContent>
                            <w:p w14:paraId="2C372AAC" w14:textId="77777777" w:rsidR="00802DDB" w:rsidRDefault="00802DDB" w:rsidP="003E4CEC">
                              <w:pPr>
                                <w:pStyle w:val="CoverCommittee"/>
                              </w:pPr>
                              <w:r>
                                <w:t xml:space="preserve"> </w:t>
                              </w:r>
                            </w:p>
                          </w:sdtContent>
                        </w:sdt>
                        <w:p w14:paraId="5B6CDA28" w14:textId="77777777" w:rsidR="00802DDB" w:rsidRDefault="00802DDB" w:rsidP="003E4CEC">
                          <w:pPr>
                            <w:pStyle w:val="CoverNormal"/>
                          </w:pPr>
                        </w:p>
                        <w:p w14:paraId="79FA09EB" w14:textId="77777777" w:rsidR="00802DDB" w:rsidRDefault="00802DDB" w:rsidP="003E4CEC">
                          <w:pPr>
                            <w:pStyle w:val="CoverNormal"/>
                          </w:pPr>
                        </w:p>
                        <w:sdt>
                          <w:sdtPr>
                            <w:alias w:val="Cancel / Replace"/>
                            <w:tag w:val="txtCancelReplace"/>
                            <w:id w:val="-1515916310"/>
                            <w:lock w:val="contentLocked"/>
                          </w:sdtPr>
                          <w:sdtEndPr/>
                          <w:sdtContent>
                            <w:p w14:paraId="085B70F7" w14:textId="77777777" w:rsidR="00802DDB" w:rsidRDefault="00802DDB" w:rsidP="003E4CEC">
                              <w:pPr>
                                <w:pStyle w:val="CoverCancel"/>
                              </w:pPr>
                              <w:r>
                                <w:t xml:space="preserve"> </w:t>
                              </w:r>
                            </w:p>
                          </w:sdtContent>
                        </w:sdt>
                        <w:p w14:paraId="3709591F" w14:textId="77777777" w:rsidR="00802DDB" w:rsidRDefault="00802DDB" w:rsidP="003E4CEC">
                          <w:pPr>
                            <w:pStyle w:val="CoverNormal"/>
                          </w:pPr>
                        </w:p>
                        <w:p w14:paraId="7CACC63C" w14:textId="77777777" w:rsidR="00802DDB" w:rsidRDefault="00802DDB" w:rsidP="003E4CEC">
                          <w:pPr>
                            <w:pStyle w:val="CoverNormal"/>
                          </w:pPr>
                        </w:p>
                        <w:sdt>
                          <w:sdtPr>
                            <w:alias w:val="Working Party"/>
                            <w:tag w:val="txtWorkingParty"/>
                            <w:id w:val="-1050841479"/>
                            <w:lock w:val="contentLocked"/>
                          </w:sdtPr>
                          <w:sdtEndPr/>
                          <w:sdtContent>
                            <w:p w14:paraId="0B3DF30C" w14:textId="77777777" w:rsidR="00802DDB" w:rsidRDefault="00802DDB" w:rsidP="003E4CEC">
                              <w:pPr>
                                <w:pStyle w:val="CoverWorkingParty"/>
                              </w:pPr>
                              <w:r>
                                <w:t xml:space="preserve"> </w:t>
                              </w:r>
                            </w:p>
                          </w:sdtContent>
                        </w:sdt>
                        <w:p w14:paraId="62A1C197" w14:textId="77777777" w:rsidR="00802DDB" w:rsidRDefault="00802DDB" w:rsidP="003E4CEC">
                          <w:pPr>
                            <w:pStyle w:val="CoverNormal"/>
                          </w:pPr>
                        </w:p>
                        <w:p w14:paraId="170EB48E" w14:textId="1FFD2E54" w:rsidR="00802DDB" w:rsidRDefault="00802DDB" w:rsidP="005C35BB">
                          <w:pPr>
                            <w:pStyle w:val="CoverNormal"/>
                            <w:jc w:val="center"/>
                            <w:rPr>
                              <w:b/>
                              <w:sz w:val="36"/>
                              <w:szCs w:val="36"/>
                            </w:rPr>
                          </w:pPr>
                          <w:r w:rsidRPr="005C35BB">
                            <w:rPr>
                              <w:b/>
                              <w:sz w:val="36"/>
                              <w:szCs w:val="36"/>
                            </w:rPr>
                            <w:t>D R A F T</w:t>
                          </w:r>
                        </w:p>
                        <w:p w14:paraId="66D54D23" w14:textId="77777777" w:rsidR="00802DDB" w:rsidRPr="005C35BB" w:rsidRDefault="00802DDB" w:rsidP="003E4CEC">
                          <w:pPr>
                            <w:pStyle w:val="CoverNormal"/>
                            <w:rPr>
                              <w:sz w:val="36"/>
                              <w:szCs w:val="36"/>
                            </w:rPr>
                          </w:pPr>
                        </w:p>
                        <w:p w14:paraId="2A315FAA" w14:textId="77777777" w:rsidR="00802DDB" w:rsidRDefault="008D0BBE" w:rsidP="003E4CEC">
                          <w:pPr>
                            <w:pStyle w:val="CoverTitle"/>
                          </w:pPr>
                          <w:sdt>
                            <w:sdtPr>
                              <w:alias w:val="Document Title"/>
                              <w:tag w:val="txtDocTitle"/>
                              <w:id w:val="2101223714"/>
                              <w:dataBinding w:prefixMappings="xmlns:ns0='http://purl.org/dc/elements/1.1/' xmlns:ns1='http://schemas.openxmlformats.org/package/2006/metadata/core-properties' " w:xpath="/ns1:coreProperties[1]/ns0:title[1]" w:storeItemID="{6C3C8BC8-F283-45AE-878A-BAB7291924A1}"/>
                              <w:text/>
                            </w:sdtPr>
                            <w:sdtEndPr/>
                            <w:sdtContent>
                              <w:r w:rsidR="00802DDB" w:rsidRPr="00BE7182">
                                <w:t>Learning in Indigenous Languages: Common Ground, Diverse Pathways</w:t>
                              </w:r>
                            </w:sdtContent>
                          </w:sdt>
                        </w:p>
                        <w:p w14:paraId="432FB973" w14:textId="77777777" w:rsidR="00802DDB" w:rsidRDefault="008D0BBE" w:rsidP="003E4CEC">
                          <w:pPr>
                            <w:pStyle w:val="CoverSubTitle"/>
                          </w:pPr>
                          <w:sdt>
                            <w:sdtPr>
                              <w:rPr>
                                <w:highlight w:val="yellow"/>
                              </w:rPr>
                              <w:alias w:val="Document Subtitle"/>
                              <w:tag w:val="txtDocSubtitle"/>
                              <w:id w:val="1704129671"/>
                              <w:dataBinding w:prefixMappings="xmlns:ns0='http://purl.org/dc/elements/1.1/' xmlns:ns1='http://schemas.openxmlformats.org/package/2006/metadata/core-properties' " w:xpath="/ns1:coreProperties[1]/ns0:subject[1]" w:storeItemID="{6C3C8BC8-F283-45AE-878A-BAB7291924A1}"/>
                              <w:text w:multiLine="1"/>
                            </w:sdtPr>
                            <w:sdtEndPr/>
                            <w:sdtContent>
                              <w:r w:rsidR="00802DDB" w:rsidRPr="00A10A97">
                                <w:rPr>
                                  <w:highlight w:val="yellow"/>
                                </w:rPr>
                                <w:t>OECD Education Working Paper No. XX</w:t>
                              </w:r>
                              <w:r w:rsidR="00802DDB">
                                <w:rPr>
                                  <w:highlight w:val="yellow"/>
                                </w:rPr>
                                <w:t>X</w:t>
                              </w:r>
                            </w:sdtContent>
                          </w:sdt>
                        </w:p>
                        <w:p w14:paraId="18EA4F90" w14:textId="77777777" w:rsidR="00802DDB" w:rsidRDefault="00802DDB" w:rsidP="003E4CEC">
                          <w:pPr>
                            <w:pStyle w:val="CoverNormal"/>
                          </w:pPr>
                        </w:p>
                        <w:p w14:paraId="6FFB1888" w14:textId="77777777" w:rsidR="00802DDB" w:rsidRDefault="00802DDB" w:rsidP="003E4CEC">
                          <w:pPr>
                            <w:pStyle w:val="CoverNormal"/>
                          </w:pPr>
                        </w:p>
                        <w:sdt>
                          <w:sdtPr>
                            <w:alias w:val="Meeting Information"/>
                            <w:tag w:val="txtInfomationMeeting"/>
                            <w:id w:val="981583264"/>
                          </w:sdtPr>
                          <w:sdtEndPr/>
                          <w:sdtContent>
                            <w:p w14:paraId="0EE915B7" w14:textId="77777777" w:rsidR="00802DDB" w:rsidRDefault="00802DDB" w:rsidP="003E4CEC">
                              <w:pPr>
                                <w:pStyle w:val="CoverInformation"/>
                              </w:pPr>
                              <w:r w:rsidRPr="00027AE8">
                                <w:t>Denise Angelo, Samantha Disbray, Ruth Singer, Carmel O'Shannessy, Jane Simpson, Hilary Smith, Barbra Meek and Gillian</w:t>
                              </w:r>
                              <w:r>
                                <w:t xml:space="preserve"> Wigglesworth</w:t>
                              </w:r>
                            </w:p>
                          </w:sdtContent>
                        </w:sdt>
                        <w:p w14:paraId="1EF2CE25" w14:textId="77777777" w:rsidR="00802DDB" w:rsidRDefault="00802DDB" w:rsidP="003E4CEC">
                          <w:pPr>
                            <w:pStyle w:val="CoverNormal"/>
                          </w:pPr>
                        </w:p>
                        <w:p w14:paraId="63DB31EA" w14:textId="77777777" w:rsidR="00802DDB" w:rsidRDefault="00802DDB" w:rsidP="003E4CEC">
                          <w:pPr>
                            <w:pStyle w:val="CoverNormal"/>
                          </w:pPr>
                        </w:p>
                        <w:tbl>
                          <w:tblPr>
                            <w:tblW w:w="5090" w:type="pct"/>
                            <w:jc w:val="center"/>
                            <w:tblCellMar>
                              <w:left w:w="85" w:type="dxa"/>
                              <w:right w:w="85" w:type="dxa"/>
                            </w:tblCellMar>
                            <w:tblLook w:val="04A0" w:firstRow="1" w:lastRow="0" w:firstColumn="1" w:lastColumn="0" w:noHBand="0" w:noVBand="1"/>
                          </w:tblPr>
                          <w:tblGrid>
                            <w:gridCol w:w="8445"/>
                          </w:tblGrid>
                          <w:sdt>
                            <w:sdtPr>
                              <w:rPr>
                                <w:rFonts w:eastAsiaTheme="minorEastAsia"/>
                                <w:b/>
                                <w:lang w:eastAsia="ko-KR"/>
                              </w:rPr>
                              <w:alias w:val="Information Note"/>
                              <w:tag w:val="txtInformationNote"/>
                              <w:id w:val="-262693240"/>
                            </w:sdtPr>
                            <w:sdtEndPr/>
                            <w:sdtContent>
                              <w:tr w:rsidR="00802DDB" w14:paraId="62108C12" w14:textId="77777777" w:rsidTr="003E4CEC">
                                <w:trPr>
                                  <w:trHeight w:val="3368"/>
                                  <w:jc w:val="center"/>
                                </w:trPr>
                                <w:tc>
                                  <w:tcPr>
                                    <w:tcW w:w="5000" w:type="pct"/>
                                  </w:tcPr>
                                  <w:p w14:paraId="6B16BAFE" w14:textId="22BD14EC" w:rsidR="00802DDB" w:rsidRPr="008D0BBE" w:rsidRDefault="008D0BBE" w:rsidP="008D0BBE">
                                    <w:pPr>
                                      <w:pStyle w:val="CoverInformation"/>
                                      <w:rPr>
                                        <w:b/>
                                      </w:rPr>
                                    </w:pPr>
                                    <w:r w:rsidRPr="008D0BBE">
                                      <w:rPr>
                                        <w:rFonts w:eastAsiaTheme="minorEastAsia"/>
                                        <w:b/>
                                        <w:lang w:eastAsia="ko-KR"/>
                                      </w:rPr>
                                      <w:t xml:space="preserve">DRAFT: Please return comments </w:t>
                                    </w:r>
                                    <w:r>
                                      <w:rPr>
                                        <w:rFonts w:eastAsiaTheme="minorEastAsia"/>
                                        <w:b/>
                                        <w:lang w:eastAsia="ko-KR"/>
                                      </w:rPr>
                                      <w:t xml:space="preserve">on this draft paper </w:t>
                                    </w:r>
                                    <w:bookmarkStart w:id="1" w:name="_GoBack"/>
                                    <w:bookmarkEnd w:id="1"/>
                                    <w:r w:rsidRPr="008D0BBE">
                                      <w:rPr>
                                        <w:rFonts w:eastAsiaTheme="minorEastAsia"/>
                                        <w:b/>
                                        <w:lang w:eastAsia="ko-KR"/>
                                      </w:rPr>
                                      <w:t>to Rowena Phair, OECD Secretariat (</w:t>
                                    </w:r>
                                    <w:hyperlink r:id="rId17" w:history="1">
                                      <w:r w:rsidRPr="008D0BBE">
                                        <w:rPr>
                                          <w:rStyle w:val="Hyperlink"/>
                                          <w:rFonts w:eastAsiaTheme="minorEastAsia"/>
                                          <w:b/>
                                          <w:lang w:eastAsia="ko-KR"/>
                                        </w:rPr>
                                        <w:t>Rowena.Phair@oecd.org</w:t>
                                      </w:r>
                                    </w:hyperlink>
                                    <w:r w:rsidRPr="008D0BBE">
                                      <w:rPr>
                                        <w:rFonts w:eastAsiaTheme="minorEastAsia"/>
                                        <w:b/>
                                        <w:lang w:eastAsia="ko-KR"/>
                                      </w:rPr>
                                      <w:t xml:space="preserve">) by </w:t>
                                    </w:r>
                                    <w:r w:rsidRPr="008D0BBE">
                                      <w:rPr>
                                        <w:rFonts w:eastAsiaTheme="minorEastAsia"/>
                                        <w:b/>
                                        <w:u w:val="single"/>
                                        <w:lang w:eastAsia="ko-KR"/>
                                      </w:rPr>
                                      <w:t>Friday, 15 April 2022</w:t>
                                    </w:r>
                                    <w:r w:rsidRPr="008D0BBE">
                                      <w:rPr>
                                        <w:rFonts w:eastAsiaTheme="minorEastAsia"/>
                                        <w:b/>
                                        <w:lang w:eastAsia="ko-KR"/>
                                      </w:rPr>
                                      <w:t xml:space="preserve">. </w:t>
                                    </w:r>
                                  </w:p>
                                </w:tc>
                              </w:tr>
                            </w:sdtContent>
                          </w:sdt>
                        </w:tbl>
                        <w:p w14:paraId="2FDA7AA9" w14:textId="77777777" w:rsidR="00802DDB" w:rsidRDefault="00802DDB" w:rsidP="003E4CEC">
                          <w:pPr>
                            <w:pStyle w:val="CoverNormal"/>
                          </w:pPr>
                        </w:p>
                        <w:sdt>
                          <w:sdtPr>
                            <w:alias w:val="Contacts"/>
                            <w:tag w:val="txtContacts"/>
                            <w:id w:val="691570990"/>
                          </w:sdtPr>
                          <w:sdtEndPr/>
                          <w:sdtContent>
                            <w:p w14:paraId="6BA0835A" w14:textId="04DB142F" w:rsidR="00802DDB" w:rsidRDefault="00802DDB" w:rsidP="003E4CEC">
                              <w:pPr>
                                <w:pStyle w:val="CoverNormal"/>
                              </w:pPr>
                              <w:r>
                                <w:t xml:space="preserve">Rowena  Phair, </w:t>
                              </w:r>
                              <w:hyperlink r:id="rId18" w:history="1">
                                <w:r w:rsidRPr="004E4894">
                                  <w:rPr>
                                    <w:rStyle w:val="Hyperlink"/>
                                  </w:rPr>
                                  <w:t>Rowena.Phair@oecd.org</w:t>
                                </w:r>
                              </w:hyperlink>
                              <w:r>
                                <w:t xml:space="preserve"> </w:t>
                              </w:r>
                            </w:p>
                          </w:sdtContent>
                        </w:sdt>
                        <w:p w14:paraId="07DC0B5C" w14:textId="77777777" w:rsidR="00802DDB" w:rsidRDefault="00802DDB" w:rsidP="003E4CEC">
                          <w:pPr>
                            <w:pStyle w:val="CoverNormal"/>
                          </w:pPr>
                        </w:p>
                        <w:p w14:paraId="1FAC7F0C" w14:textId="77777777" w:rsidR="00802DDB" w:rsidRDefault="00802DDB" w:rsidP="003E4CEC">
                          <w:pPr>
                            <w:pStyle w:val="CoverNormal"/>
                          </w:pPr>
                        </w:p>
                        <w:sdt>
                          <w:sdtPr>
                            <w:alias w:val="PWB Code"/>
                            <w:tag w:val="txtPWBCode"/>
                            <w:id w:val="361092085"/>
                            <w:lock w:val="contentLocked"/>
                            <w:text w:multiLine="1"/>
                          </w:sdtPr>
                          <w:sdtEndPr/>
                          <w:sdtContent>
                            <w:p w14:paraId="3792B2CC" w14:textId="77777777" w:rsidR="00802DDB" w:rsidRDefault="00802DDB" w:rsidP="003E4CEC">
                              <w:pPr>
                                <w:pStyle w:val="CoverPwbCode"/>
                              </w:pPr>
                              <w:r>
                                <w:t xml:space="preserve"> </w:t>
                              </w:r>
                            </w:p>
                          </w:sdtContent>
                        </w:sdt>
                        <w:sdt>
                          <w:sdtPr>
                            <w:alias w:val="JT Number"/>
                            <w:tag w:val="txtJobNumber"/>
                            <w:id w:val="-1255438158"/>
                            <w:lock w:val="contentLocked"/>
                            <w:text/>
                          </w:sdtPr>
                          <w:sdtEndPr/>
                          <w:sdtContent>
                            <w:p w14:paraId="11E201DF" w14:textId="77777777" w:rsidR="00802DDB" w:rsidRDefault="00802DDB" w:rsidP="003E4CEC">
                              <w:pPr>
                                <w:pStyle w:val="CoverJobTicket"/>
                              </w:pPr>
                              <w:r w:rsidRPr="00310112">
                                <w:t xml:space="preserve"> </w:t>
                              </w:r>
                            </w:p>
                          </w:sdtContent>
                        </w:sdt>
                        <w:sdt>
                          <w:sdtPr>
                            <w:rPr>
                              <w:color w:val="FFFFFF" w:themeColor="background1"/>
                            </w:rPr>
                            <w:alias w:val="cvpname"/>
                            <w:tag w:val="txtcvpname"/>
                            <w:id w:val="-2099237191"/>
                          </w:sdtPr>
                          <w:sdtEndPr/>
                          <w:sdtContent>
                            <w:p w14:paraId="266E7F9C" w14:textId="77777777" w:rsidR="00802DDB" w:rsidRDefault="00802DDB" w:rsidP="003E4CEC">
                              <w:pPr>
                                <w:pStyle w:val="CoverNormal"/>
                                <w:rPr>
                                  <w:color w:val="FFFFFF" w:themeColor="background1"/>
                                </w:rPr>
                              </w:pPr>
                              <w:r w:rsidRPr="00D06B7E">
                                <w:rPr>
                                  <w:color w:val="FFFFFF" w:themeColor="background1"/>
                                </w:rPr>
                                <w:t>OFDE</w:t>
                              </w:r>
                            </w:p>
                          </w:sdtContent>
                        </w:sdt>
                        <w:p w14:paraId="782254F7" w14:textId="77777777" w:rsidR="00802DDB" w:rsidRPr="00310112" w:rsidRDefault="00802DDB" w:rsidP="003E4CEC">
                          <w:pPr>
                            <w:pStyle w:val="CoverNormal"/>
                          </w:pPr>
                        </w:p>
                      </w:txbxContent>
                    </v:textbox>
                    <w10:wrap anchorx="margin" anchory="page"/>
                    <w10:anchorlock/>
                  </v:shape>
                </w:pict>
              </mc:Fallback>
            </mc:AlternateContent>
          </w:r>
          <w:r>
            <w:rPr>
              <w:noProof/>
              <w:lang w:eastAsia="en-GB"/>
            </w:rPr>
            <mc:AlternateContent>
              <mc:Choice Requires="wps">
                <w:drawing>
                  <wp:anchor distT="0" distB="0" distL="114300" distR="114300" simplePos="0" relativeHeight="251663360" behindDoc="0" locked="1" layoutInCell="1" allowOverlap="1" wp14:anchorId="47871473" wp14:editId="24286755">
                    <wp:simplePos x="0" y="0"/>
                    <wp:positionH relativeFrom="margin">
                      <wp:posOffset>-428625</wp:posOffset>
                    </wp:positionH>
                    <wp:positionV relativeFrom="page">
                      <wp:posOffset>9962515</wp:posOffset>
                    </wp:positionV>
                    <wp:extent cx="5616000" cy="42840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5616000" cy="428400"/>
                            </a:xfrm>
                            <a:prstGeom prst="rect">
                              <a:avLst/>
                            </a:prstGeom>
                            <a:solidFill>
                              <a:schemeClr val="bg1"/>
                            </a:solidFill>
                            <a:ln w="6350">
                              <a:noFill/>
                            </a:ln>
                          </wps:spPr>
                          <wps:txbx>
                            <w:txbxContent>
                              <w:sdt>
                                <w:sdtPr>
                                  <w:alias w:val="Cover Disclaimer"/>
                                  <w:tag w:val="txtCoverDisclaimer"/>
                                  <w:id w:val="-882325853"/>
                                  <w:lock w:val="contentLocked"/>
                                  <w:text/>
                                </w:sdtPr>
                                <w:sdtEndPr/>
                                <w:sdtContent>
                                  <w:p w14:paraId="403B8832" w14:textId="77777777" w:rsidR="00802DDB" w:rsidRDefault="00802DDB" w:rsidP="003E4CEC">
                                    <w:pPr>
                                      <w:pStyle w:val="CoverDisclaimer"/>
                                    </w:pPr>
                                    <w:r w:rsidRPr="00065085">
                                      <w:t>This document, as well as any data and map included herein, are without prejudice to the status of or sovereignty over any territory, to the delimitation of international frontiers and boundaries and to the name of any territory, city or area.</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71473" id="Text Box 2" o:spid="_x0000_s1027" type="#_x0000_t202" style="position:absolute;left:0;text-align:left;margin-left:-33.75pt;margin-top:784.45pt;width:442.2pt;height:3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" fillcolor="white [3212]" stroked="f" strokeweight=".5pt">
                    <v:textbox>
                      <w:txbxContent>
                        <w:sdt>
                          <w:sdtPr>
                            <w:alias w:val="Cover Disclaimer"/>
                            <w:tag w:val="txtCoverDisclaimer"/>
                            <w:id w:val="-882325853"/>
                            <w:lock w:val="contentLocked"/>
                            <w:text/>
                          </w:sdtPr>
                          <w:sdtEndPr/>
                          <w:sdtContent>
                            <w:p w14:paraId="403B8832" w14:textId="77777777" w:rsidR="00802DDB" w:rsidRDefault="00802DDB" w:rsidP="003E4CEC">
                              <w:pPr>
                                <w:pStyle w:val="CoverDisclaimer"/>
                              </w:pPr>
                              <w:r w:rsidRPr="00065085">
                                <w:t>This document, as well as any data and map included herein, are without prejudice to the status of or sovereignty over any territory, to the delimitation of international frontiers and boundaries and to the name of any territory, city or area.</w:t>
                              </w:r>
                            </w:p>
                          </w:sdtContent>
                        </w:sdt>
                      </w:txbxContent>
                    </v:textbox>
                    <w10:wrap anchorx="margin" anchory="page"/>
                    <w10:anchorlock/>
                  </v:shape>
                </w:pict>
              </mc:Fallback>
            </mc:AlternateContent>
          </w:r>
        </w:p>
        <w:p w14:paraId="038C7C4F" w14:textId="7325732A" w:rsidR="006145A3" w:rsidRDefault="006145A3" w:rsidP="00CA5B8D">
          <w:pPr>
            <w:pStyle w:val="Break"/>
          </w:pPr>
          <w:r>
            <w:br w:type="page"/>
          </w:r>
        </w:p>
      </w:sdtContent>
    </w:sdt>
    <w:p w14:paraId="3F898C5C" w14:textId="77777777" w:rsidR="006145A3" w:rsidRDefault="006145A3" w:rsidP="003E4CEC">
      <w:pPr>
        <w:pStyle w:val="Title"/>
      </w:pPr>
      <w:bookmarkStart w:id="2" w:name="_Toc95824087"/>
      <w:r w:rsidRPr="0094792C">
        <w:lastRenderedPageBreak/>
        <w:t>Acknowledgements</w:t>
      </w:r>
      <w:bookmarkEnd w:id="2"/>
    </w:p>
    <w:p w14:paraId="1ADA7EF7" w14:textId="77777777" w:rsidR="006145A3" w:rsidRPr="00852D94" w:rsidRDefault="006145A3" w:rsidP="003E4CEC">
      <w:pPr>
        <w:pStyle w:val="Para0"/>
      </w:pPr>
      <w:r w:rsidRPr="00852D94">
        <w:t xml:space="preserve">The authors acknowledge the diverse Indigenous peoples and their leaders, past, present and emerging, in Aotearoa New Zealand, Australia and Canada, and we pay our respects to their continuing cultures, languages and connections to their lands and seas. The Working Paper is intended to be supportive of the Indigenous languages </w:t>
      </w:r>
      <w:r w:rsidRPr="003F6245">
        <w:t>education</w:t>
      </w:r>
      <w:r w:rsidRPr="00852D94">
        <w:t xml:space="preserve"> they choose for their children, and of all their work on Indigenous languages programmes and initiatives.</w:t>
      </w:r>
    </w:p>
    <w:p w14:paraId="4B457F87" w14:textId="77777777" w:rsidR="006145A3" w:rsidRPr="003F6245" w:rsidRDefault="006145A3" w:rsidP="003E4CEC">
      <w:pPr>
        <w:pStyle w:val="Para0"/>
      </w:pPr>
      <w:r w:rsidRPr="003F6245">
        <w:t xml:space="preserve">The purpose of this Working Paper is, ultimately, to support Indigenous students to achieve their aspirations. Including Indigenous languages and cultures in education supports Indigenous students’ engagement, well-being and success as young Indigenous peoples, as well as their personal development and educational achievement more broadly. It overtly values the Indigenous languages, cultures and knowledges which Indigenous students’ family and community members have chosen to share in the education milieu. </w:t>
      </w:r>
    </w:p>
    <w:p w14:paraId="443A47EB" w14:textId="77777777" w:rsidR="006145A3" w:rsidRPr="003F6245" w:rsidRDefault="006145A3" w:rsidP="003E4CEC">
      <w:pPr>
        <w:pStyle w:val="Para0"/>
      </w:pPr>
      <w:r w:rsidRPr="003F6245">
        <w:t xml:space="preserve">This Working Paper has been written to provide information for education policy makers, administrators and educators who have an interest in improving Indigenous children's success in education and wider well-being. It has also been written for Indigenous language teachers and families to draw attention to their aspirations for Indigenous languages in schools to be a meaningful component of Indigenous students’ education.  </w:t>
      </w:r>
    </w:p>
    <w:p w14:paraId="0AE5CF1A" w14:textId="77777777" w:rsidR="006145A3" w:rsidRPr="003F6245" w:rsidRDefault="006145A3" w:rsidP="003E4CEC">
      <w:pPr>
        <w:pStyle w:val="Para0"/>
      </w:pPr>
      <w:r w:rsidRPr="003F6245">
        <w:t xml:space="preserve">The Working Paper has been prepared by a team who together have experience and understanding of Indigenous children and their learning in Australia, Aotearoa New Zealand, and Canada. Denise Angelo prepared the sections with input from Samantha Disbray, Ruth Singer, Carmel O'Shannessy, Jane Simpson and Gillian Wigglesworth. Hilary Smith provided country specific input for Aotearoa New Zealand and Barbra Meek for Canada. Jane Simpson also provided general oversight and direction. We thank the following colleagues for additional support and observations: Henry Fraser, Sarah Glatz, Catherine Hudson, Inge Kral, Susan Poetsch, Ailsa Purdon and the ARC Centre of Excellence for the Dynamics of Language </w:t>
      </w:r>
      <w:r>
        <w:t>“Learning”</w:t>
      </w:r>
      <w:r w:rsidRPr="003F6245">
        <w:t xml:space="preserve"> programme.</w:t>
      </w:r>
    </w:p>
    <w:p w14:paraId="2D46CBEC" w14:textId="77777777" w:rsidR="006145A3" w:rsidRPr="003F6245" w:rsidRDefault="006145A3" w:rsidP="003E4CEC">
      <w:pPr>
        <w:pStyle w:val="Para0"/>
      </w:pPr>
      <w:r w:rsidRPr="003F6245">
        <w:t>Delegates from Aotearoa New Zealand, Australia and Canada initiated this paper, as part of ongoing work by the OECD on promising practices to support the success of Indigenous students in education. We gratefully acknowledge this contribution.</w:t>
      </w:r>
    </w:p>
    <w:p w14:paraId="1009EE69" w14:textId="77777777" w:rsidR="006145A3" w:rsidRPr="00852D94" w:rsidRDefault="006145A3" w:rsidP="003E4CEC">
      <w:pPr>
        <w:pStyle w:val="Para0"/>
      </w:pPr>
      <w:r w:rsidRPr="003F6245">
        <w:t>The authors would also like to thank the Promising Practices team in the OECD, and our contacts there, Rowena Phair and Hanna Var</w:t>
      </w:r>
      <w:r>
        <w:t>k</w:t>
      </w:r>
      <w:r w:rsidRPr="003F6245">
        <w:t>ki, and in the early stages Valentine Bekka. We appreciate the opportunity to make a contribution to this important project.</w:t>
      </w:r>
    </w:p>
    <w:p w14:paraId="551DDD1F" w14:textId="77777777" w:rsidR="00CA5B8D" w:rsidRDefault="006145A3" w:rsidP="0060042C">
      <w:pPr>
        <w:pStyle w:val="Break"/>
      </w:pPr>
      <w:r>
        <w:br w:type="page"/>
      </w:r>
    </w:p>
    <w:sdt>
      <w:sdtPr>
        <w:rPr>
          <w:rFonts w:asciiTheme="minorHAnsi" w:eastAsiaTheme="minorHAnsi" w:hAnsiTheme="minorHAnsi" w:cstheme="minorBidi"/>
          <w:b w:val="0"/>
          <w:noProof/>
          <w:color w:val="000000" w:themeColor="text1"/>
          <w:sz w:val="20"/>
          <w:szCs w:val="22"/>
          <w:lang w:val="en-US"/>
        </w:rPr>
        <w:id w:val="163522587"/>
        <w:docPartObj>
          <w:docPartGallery w:val="Table of Contents"/>
          <w:docPartUnique/>
        </w:docPartObj>
      </w:sdtPr>
      <w:sdtEndPr>
        <w:rPr>
          <w:bCs/>
        </w:rPr>
      </w:sdtEndPr>
      <w:sdtContent>
        <w:p w14:paraId="6F1CFE24" w14:textId="7C3695CD" w:rsidR="00CA5B8D" w:rsidRDefault="00CA5B8D" w:rsidP="0060042C">
          <w:pPr>
            <w:pStyle w:val="TOCHeading"/>
            <w:rPr>
              <w:noProof/>
              <w:lang w:val="en-US"/>
            </w:rPr>
          </w:pPr>
          <w:r>
            <w:rPr>
              <w:noProof/>
              <w:lang w:val="en-US"/>
            </w:rPr>
            <w:t>Table of contents</w:t>
          </w:r>
        </w:p>
        <w:p w14:paraId="479CC171" w14:textId="6360AF83" w:rsidR="00CA5B8D" w:rsidRDefault="00CA5B8D">
          <w:pPr>
            <w:pStyle w:val="TOC1"/>
            <w:rPr>
              <w:rFonts w:asciiTheme="minorHAnsi" w:eastAsiaTheme="minorEastAsia" w:hAnsiTheme="minorHAnsi"/>
              <w:noProof/>
              <w:color w:val="auto"/>
              <w:sz w:val="22"/>
              <w:lang w:eastAsia="en-GB"/>
            </w:rPr>
          </w:pPr>
          <w:r>
            <w:rPr>
              <w:b/>
              <w:bCs/>
              <w:noProof/>
              <w:sz w:val="3276"/>
              <w:lang w:val="en-US"/>
            </w:rPr>
            <w:fldChar w:fldCharType="begin"/>
          </w:r>
          <w:r>
            <w:rPr>
              <w:b/>
              <w:bCs/>
              <w:noProof/>
              <w:sz w:val="3276"/>
              <w:lang w:val="en-US"/>
            </w:rPr>
            <w:instrText xml:space="preserve"> TOC \o "1-1" \h \z \t "Heading 2,2,Heading 6,9,Heading 7,1,Heading 9,2,InBrief Opener,2,Heading 2 (Indicator),2" </w:instrText>
          </w:r>
          <w:r>
            <w:rPr>
              <w:b/>
              <w:bCs/>
              <w:noProof/>
              <w:sz w:val="3276"/>
              <w:lang w:val="en-US"/>
            </w:rPr>
            <w:fldChar w:fldCharType="separate"/>
          </w:r>
          <w:hyperlink w:anchor="_Toc95824087" w:history="1">
            <w:r w:rsidRPr="00BC2DD5">
              <w:rPr>
                <w:rStyle w:val="Hyperlink"/>
                <w:noProof/>
              </w:rPr>
              <w:t>Acknowledgements</w:t>
            </w:r>
            <w:r>
              <w:rPr>
                <w:noProof/>
                <w:webHidden/>
              </w:rPr>
              <w:tab/>
            </w:r>
            <w:r>
              <w:rPr>
                <w:noProof/>
                <w:webHidden/>
              </w:rPr>
              <w:fldChar w:fldCharType="begin"/>
            </w:r>
            <w:r>
              <w:rPr>
                <w:noProof/>
                <w:webHidden/>
              </w:rPr>
              <w:instrText xml:space="preserve"> PAGEREF _Toc95824087 \h </w:instrText>
            </w:r>
            <w:r>
              <w:rPr>
                <w:noProof/>
                <w:webHidden/>
              </w:rPr>
            </w:r>
            <w:r>
              <w:rPr>
                <w:noProof/>
                <w:webHidden/>
              </w:rPr>
              <w:fldChar w:fldCharType="separate"/>
            </w:r>
            <w:r>
              <w:rPr>
                <w:noProof/>
                <w:webHidden/>
              </w:rPr>
              <w:t>2</w:t>
            </w:r>
            <w:r>
              <w:rPr>
                <w:noProof/>
                <w:webHidden/>
              </w:rPr>
              <w:fldChar w:fldCharType="end"/>
            </w:r>
          </w:hyperlink>
        </w:p>
        <w:p w14:paraId="63B5DB66" w14:textId="4029EF4E" w:rsidR="00CA5B8D" w:rsidRDefault="008D0BBE">
          <w:pPr>
            <w:pStyle w:val="TOC1"/>
            <w:rPr>
              <w:rFonts w:asciiTheme="minorHAnsi" w:eastAsiaTheme="minorEastAsia" w:hAnsiTheme="minorHAnsi"/>
              <w:noProof/>
              <w:color w:val="auto"/>
              <w:sz w:val="22"/>
              <w:lang w:eastAsia="en-GB"/>
            </w:rPr>
          </w:pPr>
          <w:hyperlink w:anchor="_Toc95824088" w:history="1">
            <w:r w:rsidR="00CA5B8D" w:rsidRPr="00BC2DD5">
              <w:rPr>
                <w:rStyle w:val="Hyperlink"/>
                <w:noProof/>
              </w:rPr>
              <w:t>Notes on terminology</w:t>
            </w:r>
            <w:r w:rsidR="00CA5B8D">
              <w:rPr>
                <w:noProof/>
                <w:webHidden/>
              </w:rPr>
              <w:tab/>
            </w:r>
            <w:r w:rsidR="00CA5B8D">
              <w:rPr>
                <w:noProof/>
                <w:webHidden/>
              </w:rPr>
              <w:fldChar w:fldCharType="begin"/>
            </w:r>
            <w:r w:rsidR="00CA5B8D">
              <w:rPr>
                <w:noProof/>
                <w:webHidden/>
              </w:rPr>
              <w:instrText xml:space="preserve"> PAGEREF _Toc95824088 \h </w:instrText>
            </w:r>
            <w:r w:rsidR="00CA5B8D">
              <w:rPr>
                <w:noProof/>
                <w:webHidden/>
              </w:rPr>
            </w:r>
            <w:r w:rsidR="00CA5B8D">
              <w:rPr>
                <w:noProof/>
                <w:webHidden/>
              </w:rPr>
              <w:fldChar w:fldCharType="separate"/>
            </w:r>
            <w:r w:rsidR="00CA5B8D">
              <w:rPr>
                <w:noProof/>
                <w:webHidden/>
              </w:rPr>
              <w:t>5</w:t>
            </w:r>
            <w:r w:rsidR="00CA5B8D">
              <w:rPr>
                <w:noProof/>
                <w:webHidden/>
              </w:rPr>
              <w:fldChar w:fldCharType="end"/>
            </w:r>
          </w:hyperlink>
        </w:p>
        <w:p w14:paraId="52AEBF9B" w14:textId="44DB5789" w:rsidR="00CA5B8D" w:rsidRDefault="008D0BBE">
          <w:pPr>
            <w:pStyle w:val="TOC1"/>
            <w:rPr>
              <w:rFonts w:asciiTheme="minorHAnsi" w:eastAsiaTheme="minorEastAsia" w:hAnsiTheme="minorHAnsi"/>
              <w:noProof/>
              <w:color w:val="auto"/>
              <w:sz w:val="22"/>
              <w:lang w:eastAsia="en-GB"/>
            </w:rPr>
          </w:pPr>
          <w:hyperlink w:anchor="_Toc95824089" w:history="1">
            <w:r w:rsidR="00CA5B8D" w:rsidRPr="00BC2DD5">
              <w:rPr>
                <w:rStyle w:val="Hyperlink"/>
                <w:noProof/>
              </w:rPr>
              <w:t>Notes on readership</w:t>
            </w:r>
            <w:r w:rsidR="00CA5B8D">
              <w:rPr>
                <w:noProof/>
                <w:webHidden/>
              </w:rPr>
              <w:tab/>
            </w:r>
            <w:r w:rsidR="00CA5B8D">
              <w:rPr>
                <w:noProof/>
                <w:webHidden/>
              </w:rPr>
              <w:fldChar w:fldCharType="begin"/>
            </w:r>
            <w:r w:rsidR="00CA5B8D">
              <w:rPr>
                <w:noProof/>
                <w:webHidden/>
              </w:rPr>
              <w:instrText xml:space="preserve"> PAGEREF _Toc95824089 \h </w:instrText>
            </w:r>
            <w:r w:rsidR="00CA5B8D">
              <w:rPr>
                <w:noProof/>
                <w:webHidden/>
              </w:rPr>
            </w:r>
            <w:r w:rsidR="00CA5B8D">
              <w:rPr>
                <w:noProof/>
                <w:webHidden/>
              </w:rPr>
              <w:fldChar w:fldCharType="separate"/>
            </w:r>
            <w:r w:rsidR="00CA5B8D">
              <w:rPr>
                <w:noProof/>
                <w:webHidden/>
              </w:rPr>
              <w:t>6</w:t>
            </w:r>
            <w:r w:rsidR="00CA5B8D">
              <w:rPr>
                <w:noProof/>
                <w:webHidden/>
              </w:rPr>
              <w:fldChar w:fldCharType="end"/>
            </w:r>
          </w:hyperlink>
        </w:p>
        <w:p w14:paraId="14F97833" w14:textId="0CB520F2" w:rsidR="00CA5B8D" w:rsidRDefault="008D0BBE">
          <w:pPr>
            <w:pStyle w:val="TOC1"/>
            <w:rPr>
              <w:rFonts w:asciiTheme="minorHAnsi" w:eastAsiaTheme="minorEastAsia" w:hAnsiTheme="minorHAnsi"/>
              <w:noProof/>
              <w:color w:val="auto"/>
              <w:sz w:val="22"/>
              <w:lang w:eastAsia="en-GB"/>
            </w:rPr>
          </w:pPr>
          <w:hyperlink w:anchor="_Toc95824090" w:history="1">
            <w:r w:rsidR="00CA5B8D" w:rsidRPr="00BC2DD5">
              <w:rPr>
                <w:rStyle w:val="Hyperlink"/>
                <w:noProof/>
              </w:rPr>
              <w:t>Abstract</w:t>
            </w:r>
            <w:r w:rsidR="00CA5B8D">
              <w:rPr>
                <w:noProof/>
                <w:webHidden/>
              </w:rPr>
              <w:tab/>
            </w:r>
            <w:r w:rsidR="00CA5B8D">
              <w:rPr>
                <w:noProof/>
                <w:webHidden/>
              </w:rPr>
              <w:fldChar w:fldCharType="begin"/>
            </w:r>
            <w:r w:rsidR="00CA5B8D">
              <w:rPr>
                <w:noProof/>
                <w:webHidden/>
              </w:rPr>
              <w:instrText xml:space="preserve"> PAGEREF _Toc95824090 \h </w:instrText>
            </w:r>
            <w:r w:rsidR="00CA5B8D">
              <w:rPr>
                <w:noProof/>
                <w:webHidden/>
              </w:rPr>
            </w:r>
            <w:r w:rsidR="00CA5B8D">
              <w:rPr>
                <w:noProof/>
                <w:webHidden/>
              </w:rPr>
              <w:fldChar w:fldCharType="separate"/>
            </w:r>
            <w:r w:rsidR="00CA5B8D">
              <w:rPr>
                <w:noProof/>
                <w:webHidden/>
              </w:rPr>
              <w:t>7</w:t>
            </w:r>
            <w:r w:rsidR="00CA5B8D">
              <w:rPr>
                <w:noProof/>
                <w:webHidden/>
              </w:rPr>
              <w:fldChar w:fldCharType="end"/>
            </w:r>
          </w:hyperlink>
        </w:p>
        <w:p w14:paraId="4184FCAB" w14:textId="229CA275" w:rsidR="00CA5B8D" w:rsidRDefault="008D0BBE">
          <w:pPr>
            <w:pStyle w:val="TOC1"/>
            <w:rPr>
              <w:rFonts w:asciiTheme="minorHAnsi" w:eastAsiaTheme="minorEastAsia" w:hAnsiTheme="minorHAnsi"/>
              <w:noProof/>
              <w:color w:val="auto"/>
              <w:sz w:val="22"/>
              <w:lang w:eastAsia="en-GB"/>
            </w:rPr>
          </w:pPr>
          <w:hyperlink w:anchor="_Toc95824091" w:history="1">
            <w:r w:rsidR="00CA5B8D" w:rsidRPr="00BC2DD5">
              <w:rPr>
                <w:rStyle w:val="Hyperlink"/>
                <w:noProof/>
              </w:rPr>
              <w:t>1 Introduction</w:t>
            </w:r>
            <w:r w:rsidR="00CA5B8D">
              <w:rPr>
                <w:noProof/>
                <w:webHidden/>
              </w:rPr>
              <w:tab/>
            </w:r>
            <w:r w:rsidR="00CA5B8D">
              <w:rPr>
                <w:noProof/>
                <w:webHidden/>
              </w:rPr>
              <w:fldChar w:fldCharType="begin"/>
            </w:r>
            <w:r w:rsidR="00CA5B8D">
              <w:rPr>
                <w:noProof/>
                <w:webHidden/>
              </w:rPr>
              <w:instrText xml:space="preserve"> PAGEREF _Toc95824091 \h </w:instrText>
            </w:r>
            <w:r w:rsidR="00CA5B8D">
              <w:rPr>
                <w:noProof/>
                <w:webHidden/>
              </w:rPr>
            </w:r>
            <w:r w:rsidR="00CA5B8D">
              <w:rPr>
                <w:noProof/>
                <w:webHidden/>
              </w:rPr>
              <w:fldChar w:fldCharType="separate"/>
            </w:r>
            <w:r w:rsidR="00CA5B8D">
              <w:rPr>
                <w:noProof/>
                <w:webHidden/>
              </w:rPr>
              <w:t>8</w:t>
            </w:r>
            <w:r w:rsidR="00CA5B8D">
              <w:rPr>
                <w:noProof/>
                <w:webHidden/>
              </w:rPr>
              <w:fldChar w:fldCharType="end"/>
            </w:r>
          </w:hyperlink>
        </w:p>
        <w:p w14:paraId="25DDF22E" w14:textId="02FE7B96" w:rsidR="00CA5B8D" w:rsidRDefault="008D0BBE">
          <w:pPr>
            <w:pStyle w:val="TOC1"/>
            <w:rPr>
              <w:rFonts w:asciiTheme="minorHAnsi" w:eastAsiaTheme="minorEastAsia" w:hAnsiTheme="minorHAnsi"/>
              <w:noProof/>
              <w:color w:val="auto"/>
              <w:sz w:val="22"/>
              <w:lang w:eastAsia="en-GB"/>
            </w:rPr>
          </w:pPr>
          <w:hyperlink w:anchor="_Toc95824092" w:history="1">
            <w:r w:rsidR="00CA5B8D" w:rsidRPr="00BC2DD5">
              <w:rPr>
                <w:rStyle w:val="Hyperlink"/>
                <w:noProof/>
              </w:rPr>
              <w:t>2 A Snapshot of Indigenous languages in Aotearoa New Zealand, Australia and Canada</w:t>
            </w:r>
            <w:r w:rsidR="00CA5B8D">
              <w:rPr>
                <w:noProof/>
                <w:webHidden/>
              </w:rPr>
              <w:tab/>
            </w:r>
            <w:r w:rsidR="00CA5B8D">
              <w:rPr>
                <w:noProof/>
                <w:webHidden/>
              </w:rPr>
              <w:fldChar w:fldCharType="begin"/>
            </w:r>
            <w:r w:rsidR="00CA5B8D">
              <w:rPr>
                <w:noProof/>
                <w:webHidden/>
              </w:rPr>
              <w:instrText xml:space="preserve"> PAGEREF _Toc95824092 \h </w:instrText>
            </w:r>
            <w:r w:rsidR="00CA5B8D">
              <w:rPr>
                <w:noProof/>
                <w:webHidden/>
              </w:rPr>
            </w:r>
            <w:r w:rsidR="00CA5B8D">
              <w:rPr>
                <w:noProof/>
                <w:webHidden/>
              </w:rPr>
              <w:fldChar w:fldCharType="separate"/>
            </w:r>
            <w:r w:rsidR="00CA5B8D">
              <w:rPr>
                <w:noProof/>
                <w:webHidden/>
              </w:rPr>
              <w:t>11</w:t>
            </w:r>
            <w:r w:rsidR="00CA5B8D">
              <w:rPr>
                <w:noProof/>
                <w:webHidden/>
              </w:rPr>
              <w:fldChar w:fldCharType="end"/>
            </w:r>
          </w:hyperlink>
        </w:p>
        <w:p w14:paraId="4EA0A22E" w14:textId="38C8506E" w:rsidR="00CA5B8D" w:rsidRDefault="008D0BBE">
          <w:pPr>
            <w:pStyle w:val="TOC2"/>
            <w:rPr>
              <w:rFonts w:eastAsiaTheme="minorEastAsia"/>
              <w:noProof/>
              <w:color w:val="auto"/>
              <w:sz w:val="22"/>
              <w:lang w:eastAsia="en-GB"/>
            </w:rPr>
          </w:pPr>
          <w:hyperlink w:anchor="_Toc95824093" w:history="1">
            <w:r w:rsidR="00CA5B8D" w:rsidRPr="00BC2DD5">
              <w:rPr>
                <w:rStyle w:val="Hyperlink"/>
                <w:noProof/>
              </w:rPr>
              <w:t>Aotearoa New Zealand</w:t>
            </w:r>
            <w:r w:rsidR="00CA5B8D">
              <w:rPr>
                <w:noProof/>
                <w:webHidden/>
              </w:rPr>
              <w:tab/>
            </w:r>
            <w:r w:rsidR="00CA5B8D">
              <w:rPr>
                <w:noProof/>
                <w:webHidden/>
              </w:rPr>
              <w:fldChar w:fldCharType="begin"/>
            </w:r>
            <w:r w:rsidR="00CA5B8D">
              <w:rPr>
                <w:noProof/>
                <w:webHidden/>
              </w:rPr>
              <w:instrText xml:space="preserve"> PAGEREF _Toc95824093 \h </w:instrText>
            </w:r>
            <w:r w:rsidR="00CA5B8D">
              <w:rPr>
                <w:noProof/>
                <w:webHidden/>
              </w:rPr>
            </w:r>
            <w:r w:rsidR="00CA5B8D">
              <w:rPr>
                <w:noProof/>
                <w:webHidden/>
              </w:rPr>
              <w:fldChar w:fldCharType="separate"/>
            </w:r>
            <w:r w:rsidR="00CA5B8D">
              <w:rPr>
                <w:noProof/>
                <w:webHidden/>
              </w:rPr>
              <w:t>12</w:t>
            </w:r>
            <w:r w:rsidR="00CA5B8D">
              <w:rPr>
                <w:noProof/>
                <w:webHidden/>
              </w:rPr>
              <w:fldChar w:fldCharType="end"/>
            </w:r>
          </w:hyperlink>
        </w:p>
        <w:p w14:paraId="037AA5E4" w14:textId="4F85A9B7" w:rsidR="00CA5B8D" w:rsidRDefault="008D0BBE">
          <w:pPr>
            <w:pStyle w:val="TOC2"/>
            <w:rPr>
              <w:rFonts w:eastAsiaTheme="minorEastAsia"/>
              <w:noProof/>
              <w:color w:val="auto"/>
              <w:sz w:val="22"/>
              <w:lang w:eastAsia="en-GB"/>
            </w:rPr>
          </w:pPr>
          <w:hyperlink w:anchor="_Toc95824094" w:history="1">
            <w:r w:rsidR="00CA5B8D" w:rsidRPr="00BC2DD5">
              <w:rPr>
                <w:rStyle w:val="Hyperlink"/>
                <w:noProof/>
              </w:rPr>
              <w:t>Australia</w:t>
            </w:r>
            <w:r w:rsidR="00CA5B8D">
              <w:rPr>
                <w:noProof/>
                <w:webHidden/>
              </w:rPr>
              <w:tab/>
            </w:r>
            <w:r w:rsidR="00CA5B8D">
              <w:rPr>
                <w:noProof/>
                <w:webHidden/>
              </w:rPr>
              <w:fldChar w:fldCharType="begin"/>
            </w:r>
            <w:r w:rsidR="00CA5B8D">
              <w:rPr>
                <w:noProof/>
                <w:webHidden/>
              </w:rPr>
              <w:instrText xml:space="preserve"> PAGEREF _Toc95824094 \h </w:instrText>
            </w:r>
            <w:r w:rsidR="00CA5B8D">
              <w:rPr>
                <w:noProof/>
                <w:webHidden/>
              </w:rPr>
            </w:r>
            <w:r w:rsidR="00CA5B8D">
              <w:rPr>
                <w:noProof/>
                <w:webHidden/>
              </w:rPr>
              <w:fldChar w:fldCharType="separate"/>
            </w:r>
            <w:r w:rsidR="00CA5B8D">
              <w:rPr>
                <w:noProof/>
                <w:webHidden/>
              </w:rPr>
              <w:t>13</w:t>
            </w:r>
            <w:r w:rsidR="00CA5B8D">
              <w:rPr>
                <w:noProof/>
                <w:webHidden/>
              </w:rPr>
              <w:fldChar w:fldCharType="end"/>
            </w:r>
          </w:hyperlink>
        </w:p>
        <w:p w14:paraId="133AD3E1" w14:textId="4D9BC96D" w:rsidR="00CA5B8D" w:rsidRDefault="008D0BBE">
          <w:pPr>
            <w:pStyle w:val="TOC2"/>
            <w:rPr>
              <w:rFonts w:eastAsiaTheme="minorEastAsia"/>
              <w:noProof/>
              <w:color w:val="auto"/>
              <w:sz w:val="22"/>
              <w:lang w:eastAsia="en-GB"/>
            </w:rPr>
          </w:pPr>
          <w:hyperlink w:anchor="_Toc95824095" w:history="1">
            <w:r w:rsidR="00CA5B8D" w:rsidRPr="00BC2DD5">
              <w:rPr>
                <w:rStyle w:val="Hyperlink"/>
                <w:noProof/>
              </w:rPr>
              <w:t>Canada</w:t>
            </w:r>
            <w:r w:rsidR="00CA5B8D">
              <w:rPr>
                <w:noProof/>
                <w:webHidden/>
              </w:rPr>
              <w:tab/>
            </w:r>
            <w:r w:rsidR="00CA5B8D">
              <w:rPr>
                <w:noProof/>
                <w:webHidden/>
              </w:rPr>
              <w:fldChar w:fldCharType="begin"/>
            </w:r>
            <w:r w:rsidR="00CA5B8D">
              <w:rPr>
                <w:noProof/>
                <w:webHidden/>
              </w:rPr>
              <w:instrText xml:space="preserve"> PAGEREF _Toc95824095 \h </w:instrText>
            </w:r>
            <w:r w:rsidR="00CA5B8D">
              <w:rPr>
                <w:noProof/>
                <w:webHidden/>
              </w:rPr>
            </w:r>
            <w:r w:rsidR="00CA5B8D">
              <w:rPr>
                <w:noProof/>
                <w:webHidden/>
              </w:rPr>
              <w:fldChar w:fldCharType="separate"/>
            </w:r>
            <w:r w:rsidR="00CA5B8D">
              <w:rPr>
                <w:noProof/>
                <w:webHidden/>
              </w:rPr>
              <w:t>15</w:t>
            </w:r>
            <w:r w:rsidR="00CA5B8D">
              <w:rPr>
                <w:noProof/>
                <w:webHidden/>
              </w:rPr>
              <w:fldChar w:fldCharType="end"/>
            </w:r>
          </w:hyperlink>
        </w:p>
        <w:p w14:paraId="52DF0D1E" w14:textId="2865D02B" w:rsidR="00CA5B8D" w:rsidRDefault="008D0BBE">
          <w:pPr>
            <w:pStyle w:val="TOC1"/>
            <w:rPr>
              <w:rFonts w:asciiTheme="minorHAnsi" w:eastAsiaTheme="minorEastAsia" w:hAnsiTheme="minorHAnsi"/>
              <w:noProof/>
              <w:color w:val="auto"/>
              <w:sz w:val="22"/>
              <w:lang w:eastAsia="en-GB"/>
            </w:rPr>
          </w:pPr>
          <w:hyperlink w:anchor="_Toc95824096" w:history="1">
            <w:r w:rsidR="00CA5B8D" w:rsidRPr="00BC2DD5">
              <w:rPr>
                <w:rStyle w:val="Hyperlink"/>
                <w:noProof/>
              </w:rPr>
              <w:t>3 Access to Indigenous languages benefits students, families and communities</w:t>
            </w:r>
            <w:r w:rsidR="00CA5B8D">
              <w:rPr>
                <w:noProof/>
                <w:webHidden/>
              </w:rPr>
              <w:tab/>
            </w:r>
            <w:r w:rsidR="00CA5B8D">
              <w:rPr>
                <w:noProof/>
                <w:webHidden/>
              </w:rPr>
              <w:fldChar w:fldCharType="begin"/>
            </w:r>
            <w:r w:rsidR="00CA5B8D">
              <w:rPr>
                <w:noProof/>
                <w:webHidden/>
              </w:rPr>
              <w:instrText xml:space="preserve"> PAGEREF _Toc95824096 \h </w:instrText>
            </w:r>
            <w:r w:rsidR="00CA5B8D">
              <w:rPr>
                <w:noProof/>
                <w:webHidden/>
              </w:rPr>
            </w:r>
            <w:r w:rsidR="00CA5B8D">
              <w:rPr>
                <w:noProof/>
                <w:webHidden/>
              </w:rPr>
              <w:fldChar w:fldCharType="separate"/>
            </w:r>
            <w:r w:rsidR="00CA5B8D">
              <w:rPr>
                <w:noProof/>
                <w:webHidden/>
              </w:rPr>
              <w:t>18</w:t>
            </w:r>
            <w:r w:rsidR="00CA5B8D">
              <w:rPr>
                <w:noProof/>
                <w:webHidden/>
              </w:rPr>
              <w:fldChar w:fldCharType="end"/>
            </w:r>
          </w:hyperlink>
        </w:p>
        <w:p w14:paraId="52072272" w14:textId="15D0E5A2" w:rsidR="00CA5B8D" w:rsidRDefault="008D0BBE">
          <w:pPr>
            <w:pStyle w:val="TOC2"/>
            <w:rPr>
              <w:rFonts w:eastAsiaTheme="minorEastAsia"/>
              <w:noProof/>
              <w:color w:val="auto"/>
              <w:sz w:val="22"/>
              <w:lang w:eastAsia="en-GB"/>
            </w:rPr>
          </w:pPr>
          <w:hyperlink w:anchor="_Toc95824097" w:history="1">
            <w:r w:rsidR="00CA5B8D" w:rsidRPr="00BC2DD5">
              <w:rPr>
                <w:rStyle w:val="Hyperlink"/>
                <w:noProof/>
              </w:rPr>
              <w:t>Redress and reconciliation</w:t>
            </w:r>
            <w:r w:rsidR="00CA5B8D">
              <w:rPr>
                <w:noProof/>
                <w:webHidden/>
              </w:rPr>
              <w:tab/>
            </w:r>
            <w:r w:rsidR="00CA5B8D">
              <w:rPr>
                <w:noProof/>
                <w:webHidden/>
              </w:rPr>
              <w:fldChar w:fldCharType="begin"/>
            </w:r>
            <w:r w:rsidR="00CA5B8D">
              <w:rPr>
                <w:noProof/>
                <w:webHidden/>
              </w:rPr>
              <w:instrText xml:space="preserve"> PAGEREF _Toc95824097 \h </w:instrText>
            </w:r>
            <w:r w:rsidR="00CA5B8D">
              <w:rPr>
                <w:noProof/>
                <w:webHidden/>
              </w:rPr>
            </w:r>
            <w:r w:rsidR="00CA5B8D">
              <w:rPr>
                <w:noProof/>
                <w:webHidden/>
              </w:rPr>
              <w:fldChar w:fldCharType="separate"/>
            </w:r>
            <w:r w:rsidR="00CA5B8D">
              <w:rPr>
                <w:noProof/>
                <w:webHidden/>
              </w:rPr>
              <w:t>18</w:t>
            </w:r>
            <w:r w:rsidR="00CA5B8D">
              <w:rPr>
                <w:noProof/>
                <w:webHidden/>
              </w:rPr>
              <w:fldChar w:fldCharType="end"/>
            </w:r>
          </w:hyperlink>
        </w:p>
        <w:p w14:paraId="76C1547D" w14:textId="2A3B86FC" w:rsidR="00CA5B8D" w:rsidRDefault="008D0BBE">
          <w:pPr>
            <w:pStyle w:val="TOC2"/>
            <w:rPr>
              <w:rFonts w:eastAsiaTheme="minorEastAsia"/>
              <w:noProof/>
              <w:color w:val="auto"/>
              <w:sz w:val="22"/>
              <w:lang w:eastAsia="en-GB"/>
            </w:rPr>
          </w:pPr>
          <w:hyperlink w:anchor="_Toc95824098" w:history="1">
            <w:r w:rsidR="00CA5B8D" w:rsidRPr="00BC2DD5">
              <w:rPr>
                <w:rStyle w:val="Hyperlink"/>
                <w:noProof/>
              </w:rPr>
              <w:t>Transmission of Indigenous knowledges</w:t>
            </w:r>
            <w:r w:rsidR="00CA5B8D">
              <w:rPr>
                <w:noProof/>
                <w:webHidden/>
              </w:rPr>
              <w:tab/>
            </w:r>
            <w:r w:rsidR="00CA5B8D">
              <w:rPr>
                <w:noProof/>
                <w:webHidden/>
              </w:rPr>
              <w:fldChar w:fldCharType="begin"/>
            </w:r>
            <w:r w:rsidR="00CA5B8D">
              <w:rPr>
                <w:noProof/>
                <w:webHidden/>
              </w:rPr>
              <w:instrText xml:space="preserve"> PAGEREF _Toc95824098 \h </w:instrText>
            </w:r>
            <w:r w:rsidR="00CA5B8D">
              <w:rPr>
                <w:noProof/>
                <w:webHidden/>
              </w:rPr>
            </w:r>
            <w:r w:rsidR="00CA5B8D">
              <w:rPr>
                <w:noProof/>
                <w:webHidden/>
              </w:rPr>
              <w:fldChar w:fldCharType="separate"/>
            </w:r>
            <w:r w:rsidR="00CA5B8D">
              <w:rPr>
                <w:noProof/>
                <w:webHidden/>
              </w:rPr>
              <w:t>20</w:t>
            </w:r>
            <w:r w:rsidR="00CA5B8D">
              <w:rPr>
                <w:noProof/>
                <w:webHidden/>
              </w:rPr>
              <w:fldChar w:fldCharType="end"/>
            </w:r>
          </w:hyperlink>
        </w:p>
        <w:p w14:paraId="71D340E2" w14:textId="49CCCB72" w:rsidR="00CA5B8D" w:rsidRDefault="008D0BBE">
          <w:pPr>
            <w:pStyle w:val="TOC2"/>
            <w:rPr>
              <w:rFonts w:eastAsiaTheme="minorEastAsia"/>
              <w:noProof/>
              <w:color w:val="auto"/>
              <w:sz w:val="22"/>
              <w:lang w:eastAsia="en-GB"/>
            </w:rPr>
          </w:pPr>
          <w:hyperlink w:anchor="_Toc95824099" w:history="1">
            <w:r w:rsidR="00CA5B8D" w:rsidRPr="00BC2DD5">
              <w:rPr>
                <w:rStyle w:val="Hyperlink"/>
                <w:noProof/>
              </w:rPr>
              <w:t>Cultural identity</w:t>
            </w:r>
            <w:r w:rsidR="00CA5B8D">
              <w:rPr>
                <w:noProof/>
                <w:webHidden/>
              </w:rPr>
              <w:tab/>
            </w:r>
            <w:r w:rsidR="00CA5B8D">
              <w:rPr>
                <w:noProof/>
                <w:webHidden/>
              </w:rPr>
              <w:fldChar w:fldCharType="begin"/>
            </w:r>
            <w:r w:rsidR="00CA5B8D">
              <w:rPr>
                <w:noProof/>
                <w:webHidden/>
              </w:rPr>
              <w:instrText xml:space="preserve"> PAGEREF _Toc95824099 \h </w:instrText>
            </w:r>
            <w:r w:rsidR="00CA5B8D">
              <w:rPr>
                <w:noProof/>
                <w:webHidden/>
              </w:rPr>
            </w:r>
            <w:r w:rsidR="00CA5B8D">
              <w:rPr>
                <w:noProof/>
                <w:webHidden/>
              </w:rPr>
              <w:fldChar w:fldCharType="separate"/>
            </w:r>
            <w:r w:rsidR="00CA5B8D">
              <w:rPr>
                <w:noProof/>
                <w:webHidden/>
              </w:rPr>
              <w:t>24</w:t>
            </w:r>
            <w:r w:rsidR="00CA5B8D">
              <w:rPr>
                <w:noProof/>
                <w:webHidden/>
              </w:rPr>
              <w:fldChar w:fldCharType="end"/>
            </w:r>
          </w:hyperlink>
        </w:p>
        <w:p w14:paraId="506D1982" w14:textId="1D3690A9" w:rsidR="00CA5B8D" w:rsidRDefault="008D0BBE">
          <w:pPr>
            <w:pStyle w:val="TOC2"/>
            <w:rPr>
              <w:rFonts w:eastAsiaTheme="minorEastAsia"/>
              <w:noProof/>
              <w:color w:val="auto"/>
              <w:sz w:val="22"/>
              <w:lang w:eastAsia="en-GB"/>
            </w:rPr>
          </w:pPr>
          <w:hyperlink w:anchor="_Toc95824100" w:history="1">
            <w:r w:rsidR="00CA5B8D" w:rsidRPr="00BC2DD5">
              <w:rPr>
                <w:rStyle w:val="Hyperlink"/>
                <w:noProof/>
              </w:rPr>
              <w:t>Benefits for Indigenous students</w:t>
            </w:r>
            <w:r w:rsidR="00CA5B8D">
              <w:rPr>
                <w:noProof/>
                <w:webHidden/>
              </w:rPr>
              <w:tab/>
            </w:r>
            <w:r w:rsidR="00CA5B8D">
              <w:rPr>
                <w:noProof/>
                <w:webHidden/>
              </w:rPr>
              <w:fldChar w:fldCharType="begin"/>
            </w:r>
            <w:r w:rsidR="00CA5B8D">
              <w:rPr>
                <w:noProof/>
                <w:webHidden/>
              </w:rPr>
              <w:instrText xml:space="preserve"> PAGEREF _Toc95824100 \h </w:instrText>
            </w:r>
            <w:r w:rsidR="00CA5B8D">
              <w:rPr>
                <w:noProof/>
                <w:webHidden/>
              </w:rPr>
            </w:r>
            <w:r w:rsidR="00CA5B8D">
              <w:rPr>
                <w:noProof/>
                <w:webHidden/>
              </w:rPr>
              <w:fldChar w:fldCharType="separate"/>
            </w:r>
            <w:r w:rsidR="00CA5B8D">
              <w:rPr>
                <w:noProof/>
                <w:webHidden/>
              </w:rPr>
              <w:t>26</w:t>
            </w:r>
            <w:r w:rsidR="00CA5B8D">
              <w:rPr>
                <w:noProof/>
                <w:webHidden/>
              </w:rPr>
              <w:fldChar w:fldCharType="end"/>
            </w:r>
          </w:hyperlink>
        </w:p>
        <w:p w14:paraId="0478705D" w14:textId="573F4AE2" w:rsidR="00CA5B8D" w:rsidRDefault="008D0BBE">
          <w:pPr>
            <w:pStyle w:val="TOC1"/>
            <w:rPr>
              <w:rFonts w:asciiTheme="minorHAnsi" w:eastAsiaTheme="minorEastAsia" w:hAnsiTheme="minorHAnsi"/>
              <w:noProof/>
              <w:color w:val="auto"/>
              <w:sz w:val="22"/>
              <w:lang w:eastAsia="en-GB"/>
            </w:rPr>
          </w:pPr>
          <w:hyperlink w:anchor="_Toc95824101" w:history="1">
            <w:r w:rsidR="00CA5B8D" w:rsidRPr="00BC2DD5">
              <w:rPr>
                <w:rStyle w:val="Hyperlink"/>
                <w:noProof/>
              </w:rPr>
              <w:t>4 Laws and policies</w:t>
            </w:r>
            <w:r w:rsidR="00CA5B8D">
              <w:rPr>
                <w:noProof/>
                <w:webHidden/>
              </w:rPr>
              <w:tab/>
            </w:r>
            <w:r w:rsidR="00CA5B8D">
              <w:rPr>
                <w:noProof/>
                <w:webHidden/>
              </w:rPr>
              <w:fldChar w:fldCharType="begin"/>
            </w:r>
            <w:r w:rsidR="00CA5B8D">
              <w:rPr>
                <w:noProof/>
                <w:webHidden/>
              </w:rPr>
              <w:instrText xml:space="preserve"> PAGEREF _Toc95824101 \h </w:instrText>
            </w:r>
            <w:r w:rsidR="00CA5B8D">
              <w:rPr>
                <w:noProof/>
                <w:webHidden/>
              </w:rPr>
            </w:r>
            <w:r w:rsidR="00CA5B8D">
              <w:rPr>
                <w:noProof/>
                <w:webHidden/>
              </w:rPr>
              <w:fldChar w:fldCharType="separate"/>
            </w:r>
            <w:r w:rsidR="00CA5B8D">
              <w:rPr>
                <w:noProof/>
                <w:webHidden/>
              </w:rPr>
              <w:t>32</w:t>
            </w:r>
            <w:r w:rsidR="00CA5B8D">
              <w:rPr>
                <w:noProof/>
                <w:webHidden/>
              </w:rPr>
              <w:fldChar w:fldCharType="end"/>
            </w:r>
          </w:hyperlink>
        </w:p>
        <w:p w14:paraId="1B7B54FD" w14:textId="4A4D40F9" w:rsidR="00CA5B8D" w:rsidRDefault="008D0BBE">
          <w:pPr>
            <w:pStyle w:val="TOC2"/>
            <w:rPr>
              <w:rFonts w:eastAsiaTheme="minorEastAsia"/>
              <w:noProof/>
              <w:color w:val="auto"/>
              <w:sz w:val="22"/>
              <w:lang w:eastAsia="en-GB"/>
            </w:rPr>
          </w:pPr>
          <w:hyperlink w:anchor="_Toc95824102" w:history="1">
            <w:r w:rsidR="00CA5B8D" w:rsidRPr="00BC2DD5">
              <w:rPr>
                <w:rStyle w:val="Hyperlink"/>
                <w:noProof/>
              </w:rPr>
              <w:t>International context: Indigenous languages in education</w:t>
            </w:r>
            <w:r w:rsidR="00CA5B8D">
              <w:rPr>
                <w:noProof/>
                <w:webHidden/>
              </w:rPr>
              <w:tab/>
            </w:r>
            <w:r w:rsidR="00CA5B8D">
              <w:rPr>
                <w:noProof/>
                <w:webHidden/>
              </w:rPr>
              <w:fldChar w:fldCharType="begin"/>
            </w:r>
            <w:r w:rsidR="00CA5B8D">
              <w:rPr>
                <w:noProof/>
                <w:webHidden/>
              </w:rPr>
              <w:instrText xml:space="preserve"> PAGEREF _Toc95824102 \h </w:instrText>
            </w:r>
            <w:r w:rsidR="00CA5B8D">
              <w:rPr>
                <w:noProof/>
                <w:webHidden/>
              </w:rPr>
            </w:r>
            <w:r w:rsidR="00CA5B8D">
              <w:rPr>
                <w:noProof/>
                <w:webHidden/>
              </w:rPr>
              <w:fldChar w:fldCharType="separate"/>
            </w:r>
            <w:r w:rsidR="00CA5B8D">
              <w:rPr>
                <w:noProof/>
                <w:webHidden/>
              </w:rPr>
              <w:t>32</w:t>
            </w:r>
            <w:r w:rsidR="00CA5B8D">
              <w:rPr>
                <w:noProof/>
                <w:webHidden/>
              </w:rPr>
              <w:fldChar w:fldCharType="end"/>
            </w:r>
          </w:hyperlink>
        </w:p>
        <w:p w14:paraId="65782009" w14:textId="37237D63" w:rsidR="00CA5B8D" w:rsidRDefault="008D0BBE">
          <w:pPr>
            <w:pStyle w:val="TOC2"/>
            <w:rPr>
              <w:rFonts w:eastAsiaTheme="minorEastAsia"/>
              <w:noProof/>
              <w:color w:val="auto"/>
              <w:sz w:val="22"/>
              <w:lang w:eastAsia="en-GB"/>
            </w:rPr>
          </w:pPr>
          <w:hyperlink w:anchor="_Toc95824103" w:history="1">
            <w:r w:rsidR="00CA5B8D" w:rsidRPr="00BC2DD5">
              <w:rPr>
                <w:rStyle w:val="Hyperlink"/>
                <w:noProof/>
              </w:rPr>
              <w:t>National contexts</w:t>
            </w:r>
            <w:r w:rsidR="00CA5B8D">
              <w:rPr>
                <w:noProof/>
                <w:webHidden/>
              </w:rPr>
              <w:tab/>
            </w:r>
            <w:r w:rsidR="00CA5B8D">
              <w:rPr>
                <w:noProof/>
                <w:webHidden/>
              </w:rPr>
              <w:fldChar w:fldCharType="begin"/>
            </w:r>
            <w:r w:rsidR="00CA5B8D">
              <w:rPr>
                <w:noProof/>
                <w:webHidden/>
              </w:rPr>
              <w:instrText xml:space="preserve"> PAGEREF _Toc95824103 \h </w:instrText>
            </w:r>
            <w:r w:rsidR="00CA5B8D">
              <w:rPr>
                <w:noProof/>
                <w:webHidden/>
              </w:rPr>
            </w:r>
            <w:r w:rsidR="00CA5B8D">
              <w:rPr>
                <w:noProof/>
                <w:webHidden/>
              </w:rPr>
              <w:fldChar w:fldCharType="separate"/>
            </w:r>
            <w:r w:rsidR="00CA5B8D">
              <w:rPr>
                <w:noProof/>
                <w:webHidden/>
              </w:rPr>
              <w:t>33</w:t>
            </w:r>
            <w:r w:rsidR="00CA5B8D">
              <w:rPr>
                <w:noProof/>
                <w:webHidden/>
              </w:rPr>
              <w:fldChar w:fldCharType="end"/>
            </w:r>
          </w:hyperlink>
        </w:p>
        <w:p w14:paraId="4C71E6F7" w14:textId="56535F97" w:rsidR="00CA5B8D" w:rsidRDefault="008D0BBE">
          <w:pPr>
            <w:pStyle w:val="TOC2"/>
            <w:rPr>
              <w:rFonts w:eastAsiaTheme="minorEastAsia"/>
              <w:noProof/>
              <w:color w:val="auto"/>
              <w:sz w:val="22"/>
              <w:lang w:eastAsia="en-GB"/>
            </w:rPr>
          </w:pPr>
          <w:hyperlink w:anchor="_Toc95824104" w:history="1">
            <w:r w:rsidR="00CA5B8D" w:rsidRPr="00BC2DD5">
              <w:rPr>
                <w:rStyle w:val="Hyperlink"/>
                <w:noProof/>
              </w:rPr>
              <w:t>Aotearoa New Zealand</w:t>
            </w:r>
            <w:r w:rsidR="00CA5B8D">
              <w:rPr>
                <w:noProof/>
                <w:webHidden/>
              </w:rPr>
              <w:tab/>
            </w:r>
            <w:r w:rsidR="00CA5B8D">
              <w:rPr>
                <w:noProof/>
                <w:webHidden/>
              </w:rPr>
              <w:fldChar w:fldCharType="begin"/>
            </w:r>
            <w:r w:rsidR="00CA5B8D">
              <w:rPr>
                <w:noProof/>
                <w:webHidden/>
              </w:rPr>
              <w:instrText xml:space="preserve"> PAGEREF _Toc95824104 \h </w:instrText>
            </w:r>
            <w:r w:rsidR="00CA5B8D">
              <w:rPr>
                <w:noProof/>
                <w:webHidden/>
              </w:rPr>
            </w:r>
            <w:r w:rsidR="00CA5B8D">
              <w:rPr>
                <w:noProof/>
                <w:webHidden/>
              </w:rPr>
              <w:fldChar w:fldCharType="separate"/>
            </w:r>
            <w:r w:rsidR="00CA5B8D">
              <w:rPr>
                <w:noProof/>
                <w:webHidden/>
              </w:rPr>
              <w:t>33</w:t>
            </w:r>
            <w:r w:rsidR="00CA5B8D">
              <w:rPr>
                <w:noProof/>
                <w:webHidden/>
              </w:rPr>
              <w:fldChar w:fldCharType="end"/>
            </w:r>
          </w:hyperlink>
        </w:p>
        <w:p w14:paraId="48B66892" w14:textId="6A160F80" w:rsidR="00CA5B8D" w:rsidRDefault="008D0BBE">
          <w:pPr>
            <w:pStyle w:val="TOC2"/>
            <w:rPr>
              <w:rFonts w:eastAsiaTheme="minorEastAsia"/>
              <w:noProof/>
              <w:color w:val="auto"/>
              <w:sz w:val="22"/>
              <w:lang w:eastAsia="en-GB"/>
            </w:rPr>
          </w:pPr>
          <w:hyperlink w:anchor="_Toc95824105" w:history="1">
            <w:r w:rsidR="00CA5B8D" w:rsidRPr="00BC2DD5">
              <w:rPr>
                <w:rStyle w:val="Hyperlink"/>
                <w:noProof/>
              </w:rPr>
              <w:t>Australia</w:t>
            </w:r>
            <w:r w:rsidR="00CA5B8D">
              <w:rPr>
                <w:noProof/>
                <w:webHidden/>
              </w:rPr>
              <w:tab/>
            </w:r>
            <w:r w:rsidR="00CA5B8D">
              <w:rPr>
                <w:noProof/>
                <w:webHidden/>
              </w:rPr>
              <w:fldChar w:fldCharType="begin"/>
            </w:r>
            <w:r w:rsidR="00CA5B8D">
              <w:rPr>
                <w:noProof/>
                <w:webHidden/>
              </w:rPr>
              <w:instrText xml:space="preserve"> PAGEREF _Toc95824105 \h </w:instrText>
            </w:r>
            <w:r w:rsidR="00CA5B8D">
              <w:rPr>
                <w:noProof/>
                <w:webHidden/>
              </w:rPr>
            </w:r>
            <w:r w:rsidR="00CA5B8D">
              <w:rPr>
                <w:noProof/>
                <w:webHidden/>
              </w:rPr>
              <w:fldChar w:fldCharType="separate"/>
            </w:r>
            <w:r w:rsidR="00CA5B8D">
              <w:rPr>
                <w:noProof/>
                <w:webHidden/>
              </w:rPr>
              <w:t>37</w:t>
            </w:r>
            <w:r w:rsidR="00CA5B8D">
              <w:rPr>
                <w:noProof/>
                <w:webHidden/>
              </w:rPr>
              <w:fldChar w:fldCharType="end"/>
            </w:r>
          </w:hyperlink>
        </w:p>
        <w:p w14:paraId="18D696E3" w14:textId="5CB13B67" w:rsidR="00CA5B8D" w:rsidRDefault="008D0BBE">
          <w:pPr>
            <w:pStyle w:val="TOC2"/>
            <w:rPr>
              <w:rFonts w:eastAsiaTheme="minorEastAsia"/>
              <w:noProof/>
              <w:color w:val="auto"/>
              <w:sz w:val="22"/>
              <w:lang w:eastAsia="en-GB"/>
            </w:rPr>
          </w:pPr>
          <w:hyperlink w:anchor="_Toc95824106" w:history="1">
            <w:r w:rsidR="00CA5B8D" w:rsidRPr="00BC2DD5">
              <w:rPr>
                <w:rStyle w:val="Hyperlink"/>
                <w:noProof/>
              </w:rPr>
              <w:t>Canada</w:t>
            </w:r>
            <w:r w:rsidR="00CA5B8D">
              <w:rPr>
                <w:noProof/>
                <w:webHidden/>
              </w:rPr>
              <w:tab/>
            </w:r>
            <w:r w:rsidR="00CA5B8D">
              <w:rPr>
                <w:noProof/>
                <w:webHidden/>
              </w:rPr>
              <w:fldChar w:fldCharType="begin"/>
            </w:r>
            <w:r w:rsidR="00CA5B8D">
              <w:rPr>
                <w:noProof/>
                <w:webHidden/>
              </w:rPr>
              <w:instrText xml:space="preserve"> PAGEREF _Toc95824106 \h </w:instrText>
            </w:r>
            <w:r w:rsidR="00CA5B8D">
              <w:rPr>
                <w:noProof/>
                <w:webHidden/>
              </w:rPr>
            </w:r>
            <w:r w:rsidR="00CA5B8D">
              <w:rPr>
                <w:noProof/>
                <w:webHidden/>
              </w:rPr>
              <w:fldChar w:fldCharType="separate"/>
            </w:r>
            <w:r w:rsidR="00CA5B8D">
              <w:rPr>
                <w:noProof/>
                <w:webHidden/>
              </w:rPr>
              <w:t>40</w:t>
            </w:r>
            <w:r w:rsidR="00CA5B8D">
              <w:rPr>
                <w:noProof/>
                <w:webHidden/>
              </w:rPr>
              <w:fldChar w:fldCharType="end"/>
            </w:r>
          </w:hyperlink>
        </w:p>
        <w:p w14:paraId="7B6740E0" w14:textId="184DEA1B" w:rsidR="00CA5B8D" w:rsidRDefault="008D0BBE">
          <w:pPr>
            <w:pStyle w:val="TOC1"/>
            <w:rPr>
              <w:rFonts w:asciiTheme="minorHAnsi" w:eastAsiaTheme="minorEastAsia" w:hAnsiTheme="minorHAnsi"/>
              <w:noProof/>
              <w:color w:val="auto"/>
              <w:sz w:val="22"/>
              <w:lang w:eastAsia="en-GB"/>
            </w:rPr>
          </w:pPr>
          <w:hyperlink w:anchor="_Toc95824107" w:history="1">
            <w:r w:rsidR="00CA5B8D" w:rsidRPr="00BC2DD5">
              <w:rPr>
                <w:rStyle w:val="Hyperlink"/>
                <w:noProof/>
              </w:rPr>
              <w:t>5 How language skills develop – the science of language learning</w:t>
            </w:r>
            <w:r w:rsidR="00CA5B8D">
              <w:rPr>
                <w:noProof/>
                <w:webHidden/>
              </w:rPr>
              <w:tab/>
            </w:r>
            <w:r w:rsidR="00CA5B8D">
              <w:rPr>
                <w:noProof/>
                <w:webHidden/>
              </w:rPr>
              <w:fldChar w:fldCharType="begin"/>
            </w:r>
            <w:r w:rsidR="00CA5B8D">
              <w:rPr>
                <w:noProof/>
                <w:webHidden/>
              </w:rPr>
              <w:instrText xml:space="preserve"> PAGEREF _Toc95824107 \h </w:instrText>
            </w:r>
            <w:r w:rsidR="00CA5B8D">
              <w:rPr>
                <w:noProof/>
                <w:webHidden/>
              </w:rPr>
            </w:r>
            <w:r w:rsidR="00CA5B8D">
              <w:rPr>
                <w:noProof/>
                <w:webHidden/>
              </w:rPr>
              <w:fldChar w:fldCharType="separate"/>
            </w:r>
            <w:r w:rsidR="00CA5B8D">
              <w:rPr>
                <w:noProof/>
                <w:webHidden/>
              </w:rPr>
              <w:t>45</w:t>
            </w:r>
            <w:r w:rsidR="00CA5B8D">
              <w:rPr>
                <w:noProof/>
                <w:webHidden/>
              </w:rPr>
              <w:fldChar w:fldCharType="end"/>
            </w:r>
          </w:hyperlink>
        </w:p>
        <w:p w14:paraId="4330DD57" w14:textId="2FDBA702" w:rsidR="00CA5B8D" w:rsidRDefault="008D0BBE">
          <w:pPr>
            <w:pStyle w:val="TOC2"/>
            <w:rPr>
              <w:rFonts w:eastAsiaTheme="minorEastAsia"/>
              <w:noProof/>
              <w:color w:val="auto"/>
              <w:sz w:val="22"/>
              <w:lang w:eastAsia="en-GB"/>
            </w:rPr>
          </w:pPr>
          <w:hyperlink w:anchor="_Toc95824108" w:history="1">
            <w:r w:rsidR="00CA5B8D" w:rsidRPr="00BC2DD5">
              <w:rPr>
                <w:rStyle w:val="Hyperlink"/>
                <w:noProof/>
              </w:rPr>
              <w:t>Learning mother tongue/first languages from birth</w:t>
            </w:r>
            <w:r w:rsidR="00CA5B8D">
              <w:rPr>
                <w:noProof/>
                <w:webHidden/>
              </w:rPr>
              <w:tab/>
            </w:r>
            <w:r w:rsidR="00CA5B8D">
              <w:rPr>
                <w:noProof/>
                <w:webHidden/>
              </w:rPr>
              <w:fldChar w:fldCharType="begin"/>
            </w:r>
            <w:r w:rsidR="00CA5B8D">
              <w:rPr>
                <w:noProof/>
                <w:webHidden/>
              </w:rPr>
              <w:instrText xml:space="preserve"> PAGEREF _Toc95824108 \h </w:instrText>
            </w:r>
            <w:r w:rsidR="00CA5B8D">
              <w:rPr>
                <w:noProof/>
                <w:webHidden/>
              </w:rPr>
            </w:r>
            <w:r w:rsidR="00CA5B8D">
              <w:rPr>
                <w:noProof/>
                <w:webHidden/>
              </w:rPr>
              <w:fldChar w:fldCharType="separate"/>
            </w:r>
            <w:r w:rsidR="00CA5B8D">
              <w:rPr>
                <w:noProof/>
                <w:webHidden/>
              </w:rPr>
              <w:t>46</w:t>
            </w:r>
            <w:r w:rsidR="00CA5B8D">
              <w:rPr>
                <w:noProof/>
                <w:webHidden/>
              </w:rPr>
              <w:fldChar w:fldCharType="end"/>
            </w:r>
          </w:hyperlink>
        </w:p>
        <w:p w14:paraId="44A83822" w14:textId="01564299" w:rsidR="00CA5B8D" w:rsidRDefault="008D0BBE">
          <w:pPr>
            <w:pStyle w:val="TOC2"/>
            <w:rPr>
              <w:rFonts w:eastAsiaTheme="minorEastAsia"/>
              <w:noProof/>
              <w:color w:val="auto"/>
              <w:sz w:val="22"/>
              <w:lang w:eastAsia="en-GB"/>
            </w:rPr>
          </w:pPr>
          <w:hyperlink w:anchor="_Toc95824109" w:history="1">
            <w:r w:rsidR="00CA5B8D" w:rsidRPr="00BC2DD5">
              <w:rPr>
                <w:rStyle w:val="Hyperlink"/>
                <w:noProof/>
              </w:rPr>
              <w:t>Learning second and additional languages</w:t>
            </w:r>
            <w:r w:rsidR="00CA5B8D">
              <w:rPr>
                <w:noProof/>
                <w:webHidden/>
              </w:rPr>
              <w:tab/>
            </w:r>
            <w:r w:rsidR="00CA5B8D">
              <w:rPr>
                <w:noProof/>
                <w:webHidden/>
              </w:rPr>
              <w:fldChar w:fldCharType="begin"/>
            </w:r>
            <w:r w:rsidR="00CA5B8D">
              <w:rPr>
                <w:noProof/>
                <w:webHidden/>
              </w:rPr>
              <w:instrText xml:space="preserve"> PAGEREF _Toc95824109 \h </w:instrText>
            </w:r>
            <w:r w:rsidR="00CA5B8D">
              <w:rPr>
                <w:noProof/>
                <w:webHidden/>
              </w:rPr>
            </w:r>
            <w:r w:rsidR="00CA5B8D">
              <w:rPr>
                <w:noProof/>
                <w:webHidden/>
              </w:rPr>
              <w:fldChar w:fldCharType="separate"/>
            </w:r>
            <w:r w:rsidR="00CA5B8D">
              <w:rPr>
                <w:noProof/>
                <w:webHidden/>
              </w:rPr>
              <w:t>50</w:t>
            </w:r>
            <w:r w:rsidR="00CA5B8D">
              <w:rPr>
                <w:noProof/>
                <w:webHidden/>
              </w:rPr>
              <w:fldChar w:fldCharType="end"/>
            </w:r>
          </w:hyperlink>
        </w:p>
        <w:p w14:paraId="047E4EEA" w14:textId="4436FF22" w:rsidR="00CA5B8D" w:rsidRDefault="008D0BBE">
          <w:pPr>
            <w:pStyle w:val="TOC2"/>
            <w:rPr>
              <w:rFonts w:eastAsiaTheme="minorEastAsia"/>
              <w:noProof/>
              <w:color w:val="auto"/>
              <w:sz w:val="22"/>
              <w:lang w:eastAsia="en-GB"/>
            </w:rPr>
          </w:pPr>
          <w:hyperlink w:anchor="_Toc95824110" w:history="1">
            <w:r w:rsidR="00CA5B8D" w:rsidRPr="00BC2DD5">
              <w:rPr>
                <w:rStyle w:val="Hyperlink"/>
                <w:noProof/>
              </w:rPr>
              <w:t>Multilingualism: individual repertoires and behaviours</w:t>
            </w:r>
            <w:r w:rsidR="00CA5B8D">
              <w:rPr>
                <w:noProof/>
                <w:webHidden/>
              </w:rPr>
              <w:tab/>
            </w:r>
            <w:r w:rsidR="00CA5B8D">
              <w:rPr>
                <w:noProof/>
                <w:webHidden/>
              </w:rPr>
              <w:fldChar w:fldCharType="begin"/>
            </w:r>
            <w:r w:rsidR="00CA5B8D">
              <w:rPr>
                <w:noProof/>
                <w:webHidden/>
              </w:rPr>
              <w:instrText xml:space="preserve"> PAGEREF _Toc95824110 \h </w:instrText>
            </w:r>
            <w:r w:rsidR="00CA5B8D">
              <w:rPr>
                <w:noProof/>
                <w:webHidden/>
              </w:rPr>
            </w:r>
            <w:r w:rsidR="00CA5B8D">
              <w:rPr>
                <w:noProof/>
                <w:webHidden/>
              </w:rPr>
              <w:fldChar w:fldCharType="separate"/>
            </w:r>
            <w:r w:rsidR="00CA5B8D">
              <w:rPr>
                <w:noProof/>
                <w:webHidden/>
              </w:rPr>
              <w:t>54</w:t>
            </w:r>
            <w:r w:rsidR="00CA5B8D">
              <w:rPr>
                <w:noProof/>
                <w:webHidden/>
              </w:rPr>
              <w:fldChar w:fldCharType="end"/>
            </w:r>
          </w:hyperlink>
        </w:p>
        <w:p w14:paraId="7CA62352" w14:textId="405D2904" w:rsidR="00CA5B8D" w:rsidRDefault="008D0BBE">
          <w:pPr>
            <w:pStyle w:val="TOC1"/>
            <w:rPr>
              <w:rFonts w:asciiTheme="minorHAnsi" w:eastAsiaTheme="minorEastAsia" w:hAnsiTheme="minorHAnsi"/>
              <w:noProof/>
              <w:color w:val="auto"/>
              <w:sz w:val="22"/>
              <w:lang w:eastAsia="en-GB"/>
            </w:rPr>
          </w:pPr>
          <w:hyperlink w:anchor="_Toc95824111" w:history="1">
            <w:r w:rsidR="00CA5B8D" w:rsidRPr="00BC2DD5">
              <w:rPr>
                <w:rStyle w:val="Hyperlink"/>
                <w:noProof/>
              </w:rPr>
              <w:t>6 Understanding language ecologies</w:t>
            </w:r>
            <w:r w:rsidR="00CA5B8D">
              <w:rPr>
                <w:noProof/>
                <w:webHidden/>
              </w:rPr>
              <w:tab/>
            </w:r>
            <w:r w:rsidR="00CA5B8D">
              <w:rPr>
                <w:noProof/>
                <w:webHidden/>
              </w:rPr>
              <w:fldChar w:fldCharType="begin"/>
            </w:r>
            <w:r w:rsidR="00CA5B8D">
              <w:rPr>
                <w:noProof/>
                <w:webHidden/>
              </w:rPr>
              <w:instrText xml:space="preserve"> PAGEREF _Toc95824111 \h </w:instrText>
            </w:r>
            <w:r w:rsidR="00CA5B8D">
              <w:rPr>
                <w:noProof/>
                <w:webHidden/>
              </w:rPr>
            </w:r>
            <w:r w:rsidR="00CA5B8D">
              <w:rPr>
                <w:noProof/>
                <w:webHidden/>
              </w:rPr>
              <w:fldChar w:fldCharType="separate"/>
            </w:r>
            <w:r w:rsidR="00CA5B8D">
              <w:rPr>
                <w:noProof/>
                <w:webHidden/>
              </w:rPr>
              <w:t>56</w:t>
            </w:r>
            <w:r w:rsidR="00CA5B8D">
              <w:rPr>
                <w:noProof/>
                <w:webHidden/>
              </w:rPr>
              <w:fldChar w:fldCharType="end"/>
            </w:r>
          </w:hyperlink>
        </w:p>
        <w:p w14:paraId="0CA60976" w14:textId="4481E1B2" w:rsidR="00CA5B8D" w:rsidRDefault="00375042">
          <w:pPr>
            <w:pStyle w:val="TOC2"/>
            <w:rPr>
              <w:rFonts w:eastAsiaTheme="minorEastAsia"/>
              <w:noProof/>
              <w:color w:val="auto"/>
              <w:sz w:val="22"/>
              <w:lang w:eastAsia="en-GB"/>
            </w:rPr>
          </w:pPr>
          <w:hyperlink w:anchor="_Toc95824112" w:history="1">
            <w:r w:rsidR="00CA5B8D" w:rsidRPr="00BC2DD5">
              <w:rPr>
                <w:rStyle w:val="Hyperlink"/>
                <w:noProof/>
              </w:rPr>
              <w:t>What languages do Indigenous peoples speak today?</w:t>
            </w:r>
            <w:r w:rsidR="00CA5B8D">
              <w:rPr>
                <w:noProof/>
                <w:webHidden/>
              </w:rPr>
              <w:tab/>
            </w:r>
            <w:r w:rsidR="00CA5B8D">
              <w:rPr>
                <w:noProof/>
                <w:webHidden/>
              </w:rPr>
              <w:fldChar w:fldCharType="begin"/>
            </w:r>
            <w:r w:rsidR="00CA5B8D">
              <w:rPr>
                <w:noProof/>
                <w:webHidden/>
              </w:rPr>
              <w:instrText xml:space="preserve"> PAGEREF _Toc95824112 \h </w:instrText>
            </w:r>
            <w:r w:rsidR="00CA5B8D">
              <w:rPr>
                <w:noProof/>
                <w:webHidden/>
              </w:rPr>
            </w:r>
            <w:r w:rsidR="00CA5B8D">
              <w:rPr>
                <w:noProof/>
                <w:webHidden/>
              </w:rPr>
              <w:fldChar w:fldCharType="separate"/>
            </w:r>
            <w:r w:rsidR="00CA5B8D">
              <w:rPr>
                <w:noProof/>
                <w:webHidden/>
              </w:rPr>
              <w:t>57</w:t>
            </w:r>
            <w:r w:rsidR="00CA5B8D">
              <w:rPr>
                <w:noProof/>
                <w:webHidden/>
              </w:rPr>
              <w:fldChar w:fldCharType="end"/>
            </w:r>
          </w:hyperlink>
        </w:p>
        <w:p w14:paraId="58C5B355" w14:textId="447893D0" w:rsidR="00CA5B8D" w:rsidRDefault="008D0BBE">
          <w:pPr>
            <w:pStyle w:val="TOC1"/>
            <w:rPr>
              <w:rFonts w:asciiTheme="minorHAnsi" w:eastAsiaTheme="minorEastAsia" w:hAnsiTheme="minorHAnsi"/>
              <w:noProof/>
              <w:color w:val="auto"/>
              <w:sz w:val="22"/>
              <w:lang w:eastAsia="en-GB"/>
            </w:rPr>
          </w:pPr>
          <w:hyperlink w:anchor="_Toc95824113" w:history="1">
            <w:r w:rsidR="00CA5B8D" w:rsidRPr="00BC2DD5">
              <w:rPr>
                <w:rStyle w:val="Hyperlink"/>
                <w:noProof/>
              </w:rPr>
              <w:t>7 Promising models of Indigenous language provision</w:t>
            </w:r>
            <w:r w:rsidR="00CA5B8D">
              <w:rPr>
                <w:noProof/>
                <w:webHidden/>
              </w:rPr>
              <w:tab/>
            </w:r>
            <w:r w:rsidR="00CA5B8D">
              <w:rPr>
                <w:noProof/>
                <w:webHidden/>
              </w:rPr>
              <w:fldChar w:fldCharType="begin"/>
            </w:r>
            <w:r w:rsidR="00CA5B8D">
              <w:rPr>
                <w:noProof/>
                <w:webHidden/>
              </w:rPr>
              <w:instrText xml:space="preserve"> PAGEREF _Toc95824113 \h </w:instrText>
            </w:r>
            <w:r w:rsidR="00CA5B8D">
              <w:rPr>
                <w:noProof/>
                <w:webHidden/>
              </w:rPr>
            </w:r>
            <w:r w:rsidR="00CA5B8D">
              <w:rPr>
                <w:noProof/>
                <w:webHidden/>
              </w:rPr>
              <w:fldChar w:fldCharType="separate"/>
            </w:r>
            <w:r w:rsidR="00CA5B8D">
              <w:rPr>
                <w:noProof/>
                <w:webHidden/>
              </w:rPr>
              <w:t>64</w:t>
            </w:r>
            <w:r w:rsidR="00CA5B8D">
              <w:rPr>
                <w:noProof/>
                <w:webHidden/>
              </w:rPr>
              <w:fldChar w:fldCharType="end"/>
            </w:r>
          </w:hyperlink>
        </w:p>
        <w:p w14:paraId="337D97F3" w14:textId="4722A1BF" w:rsidR="00CA5B8D" w:rsidRDefault="008D0BBE">
          <w:pPr>
            <w:pStyle w:val="TOC2"/>
            <w:rPr>
              <w:rFonts w:eastAsiaTheme="minorEastAsia"/>
              <w:noProof/>
              <w:color w:val="auto"/>
              <w:sz w:val="22"/>
              <w:lang w:eastAsia="en-GB"/>
            </w:rPr>
          </w:pPr>
          <w:hyperlink w:anchor="_Toc95824114" w:history="1">
            <w:r w:rsidR="00CA5B8D" w:rsidRPr="00BC2DD5">
              <w:rPr>
                <w:rStyle w:val="Hyperlink"/>
                <w:noProof/>
              </w:rPr>
              <w:t>Mother tongue/first language learning programmes</w:t>
            </w:r>
            <w:r w:rsidR="00CA5B8D">
              <w:rPr>
                <w:noProof/>
                <w:webHidden/>
              </w:rPr>
              <w:tab/>
            </w:r>
            <w:r w:rsidR="00CA5B8D">
              <w:rPr>
                <w:noProof/>
                <w:webHidden/>
              </w:rPr>
              <w:fldChar w:fldCharType="begin"/>
            </w:r>
            <w:r w:rsidR="00CA5B8D">
              <w:rPr>
                <w:noProof/>
                <w:webHidden/>
              </w:rPr>
              <w:instrText xml:space="preserve"> PAGEREF _Toc95824114 \h </w:instrText>
            </w:r>
            <w:r w:rsidR="00CA5B8D">
              <w:rPr>
                <w:noProof/>
                <w:webHidden/>
              </w:rPr>
            </w:r>
            <w:r w:rsidR="00CA5B8D">
              <w:rPr>
                <w:noProof/>
                <w:webHidden/>
              </w:rPr>
              <w:fldChar w:fldCharType="separate"/>
            </w:r>
            <w:r w:rsidR="00CA5B8D">
              <w:rPr>
                <w:noProof/>
                <w:webHidden/>
              </w:rPr>
              <w:t>64</w:t>
            </w:r>
            <w:r w:rsidR="00CA5B8D">
              <w:rPr>
                <w:noProof/>
                <w:webHidden/>
              </w:rPr>
              <w:fldChar w:fldCharType="end"/>
            </w:r>
          </w:hyperlink>
        </w:p>
        <w:p w14:paraId="743B1779" w14:textId="2ACA13BE" w:rsidR="00CA5B8D" w:rsidRDefault="008D0BBE">
          <w:pPr>
            <w:pStyle w:val="TOC2"/>
            <w:rPr>
              <w:rFonts w:eastAsiaTheme="minorEastAsia"/>
              <w:noProof/>
              <w:color w:val="auto"/>
              <w:sz w:val="22"/>
              <w:lang w:eastAsia="en-GB"/>
            </w:rPr>
          </w:pPr>
          <w:hyperlink w:anchor="_Toc95824115" w:history="1">
            <w:r w:rsidR="00CA5B8D" w:rsidRPr="00BC2DD5">
              <w:rPr>
                <w:rStyle w:val="Hyperlink"/>
                <w:noProof/>
              </w:rPr>
              <w:t>Second/additional Indigenous language learning programmes</w:t>
            </w:r>
            <w:r w:rsidR="00CA5B8D">
              <w:rPr>
                <w:noProof/>
                <w:webHidden/>
              </w:rPr>
              <w:tab/>
            </w:r>
            <w:r w:rsidR="00CA5B8D">
              <w:rPr>
                <w:noProof/>
                <w:webHidden/>
              </w:rPr>
              <w:fldChar w:fldCharType="begin"/>
            </w:r>
            <w:r w:rsidR="00CA5B8D">
              <w:rPr>
                <w:noProof/>
                <w:webHidden/>
              </w:rPr>
              <w:instrText xml:space="preserve"> PAGEREF _Toc95824115 \h </w:instrText>
            </w:r>
            <w:r w:rsidR="00CA5B8D">
              <w:rPr>
                <w:noProof/>
                <w:webHidden/>
              </w:rPr>
            </w:r>
            <w:r w:rsidR="00CA5B8D">
              <w:rPr>
                <w:noProof/>
                <w:webHidden/>
              </w:rPr>
              <w:fldChar w:fldCharType="separate"/>
            </w:r>
            <w:r w:rsidR="00CA5B8D">
              <w:rPr>
                <w:noProof/>
                <w:webHidden/>
              </w:rPr>
              <w:t>65</w:t>
            </w:r>
            <w:r w:rsidR="00CA5B8D">
              <w:rPr>
                <w:noProof/>
                <w:webHidden/>
              </w:rPr>
              <w:fldChar w:fldCharType="end"/>
            </w:r>
          </w:hyperlink>
        </w:p>
        <w:p w14:paraId="1A0060C4" w14:textId="26F3FBC1" w:rsidR="00CA5B8D" w:rsidRDefault="008D0BBE">
          <w:pPr>
            <w:pStyle w:val="TOC2"/>
            <w:rPr>
              <w:rFonts w:eastAsiaTheme="minorEastAsia"/>
              <w:noProof/>
              <w:color w:val="auto"/>
              <w:sz w:val="22"/>
              <w:lang w:eastAsia="en-GB"/>
            </w:rPr>
          </w:pPr>
          <w:hyperlink w:anchor="_Toc95824116" w:history="1">
            <w:r w:rsidR="00CA5B8D" w:rsidRPr="00BC2DD5">
              <w:rPr>
                <w:rStyle w:val="Hyperlink"/>
                <w:noProof/>
              </w:rPr>
              <w:t>Indigenous knowledge and cultures within Indigenous languages programmes</w:t>
            </w:r>
            <w:r w:rsidR="00CA5B8D">
              <w:rPr>
                <w:noProof/>
                <w:webHidden/>
              </w:rPr>
              <w:tab/>
            </w:r>
            <w:r w:rsidR="00CA5B8D">
              <w:rPr>
                <w:noProof/>
                <w:webHidden/>
              </w:rPr>
              <w:fldChar w:fldCharType="begin"/>
            </w:r>
            <w:r w:rsidR="00CA5B8D">
              <w:rPr>
                <w:noProof/>
                <w:webHidden/>
              </w:rPr>
              <w:instrText xml:space="preserve"> PAGEREF _Toc95824116 \h </w:instrText>
            </w:r>
            <w:r w:rsidR="00CA5B8D">
              <w:rPr>
                <w:noProof/>
                <w:webHidden/>
              </w:rPr>
            </w:r>
            <w:r w:rsidR="00CA5B8D">
              <w:rPr>
                <w:noProof/>
                <w:webHidden/>
              </w:rPr>
              <w:fldChar w:fldCharType="separate"/>
            </w:r>
            <w:r w:rsidR="00CA5B8D">
              <w:rPr>
                <w:noProof/>
                <w:webHidden/>
              </w:rPr>
              <w:t>69</w:t>
            </w:r>
            <w:r w:rsidR="00CA5B8D">
              <w:rPr>
                <w:noProof/>
                <w:webHidden/>
              </w:rPr>
              <w:fldChar w:fldCharType="end"/>
            </w:r>
          </w:hyperlink>
        </w:p>
        <w:p w14:paraId="1B8CF095" w14:textId="5F3D1B16" w:rsidR="00CA5B8D" w:rsidRDefault="008D0BBE">
          <w:pPr>
            <w:pStyle w:val="TOC2"/>
            <w:rPr>
              <w:rFonts w:eastAsiaTheme="minorEastAsia"/>
              <w:noProof/>
              <w:color w:val="auto"/>
              <w:sz w:val="22"/>
              <w:lang w:eastAsia="en-GB"/>
            </w:rPr>
          </w:pPr>
          <w:hyperlink w:anchor="_Toc95824117" w:history="1">
            <w:r w:rsidR="00CA5B8D" w:rsidRPr="00BC2DD5">
              <w:rPr>
                <w:rStyle w:val="Hyperlink"/>
                <w:noProof/>
              </w:rPr>
              <w:t>Collaborative school-community relationships</w:t>
            </w:r>
            <w:r w:rsidR="00CA5B8D">
              <w:rPr>
                <w:noProof/>
                <w:webHidden/>
              </w:rPr>
              <w:tab/>
            </w:r>
            <w:r w:rsidR="00CA5B8D">
              <w:rPr>
                <w:noProof/>
                <w:webHidden/>
              </w:rPr>
              <w:fldChar w:fldCharType="begin"/>
            </w:r>
            <w:r w:rsidR="00CA5B8D">
              <w:rPr>
                <w:noProof/>
                <w:webHidden/>
              </w:rPr>
              <w:instrText xml:space="preserve"> PAGEREF _Toc95824117 \h </w:instrText>
            </w:r>
            <w:r w:rsidR="00CA5B8D">
              <w:rPr>
                <w:noProof/>
                <w:webHidden/>
              </w:rPr>
            </w:r>
            <w:r w:rsidR="00CA5B8D">
              <w:rPr>
                <w:noProof/>
                <w:webHidden/>
              </w:rPr>
              <w:fldChar w:fldCharType="separate"/>
            </w:r>
            <w:r w:rsidR="00CA5B8D">
              <w:rPr>
                <w:noProof/>
                <w:webHidden/>
              </w:rPr>
              <w:t>73</w:t>
            </w:r>
            <w:r w:rsidR="00CA5B8D">
              <w:rPr>
                <w:noProof/>
                <w:webHidden/>
              </w:rPr>
              <w:fldChar w:fldCharType="end"/>
            </w:r>
          </w:hyperlink>
        </w:p>
        <w:p w14:paraId="08F65282" w14:textId="6F6C9390" w:rsidR="00CA5B8D" w:rsidRDefault="008D0BBE">
          <w:pPr>
            <w:pStyle w:val="TOC2"/>
            <w:rPr>
              <w:rFonts w:eastAsiaTheme="minorEastAsia"/>
              <w:noProof/>
              <w:color w:val="auto"/>
              <w:sz w:val="22"/>
              <w:lang w:eastAsia="en-GB"/>
            </w:rPr>
          </w:pPr>
          <w:hyperlink w:anchor="_Toc95824118" w:history="1">
            <w:r w:rsidR="00CA5B8D" w:rsidRPr="00BC2DD5">
              <w:rPr>
                <w:rStyle w:val="Hyperlink"/>
                <w:noProof/>
              </w:rPr>
              <w:t>Wide engagement of Indigenous peoples</w:t>
            </w:r>
            <w:r w:rsidR="00CA5B8D">
              <w:rPr>
                <w:noProof/>
                <w:webHidden/>
              </w:rPr>
              <w:tab/>
            </w:r>
            <w:r w:rsidR="00CA5B8D">
              <w:rPr>
                <w:noProof/>
                <w:webHidden/>
              </w:rPr>
              <w:fldChar w:fldCharType="begin"/>
            </w:r>
            <w:r w:rsidR="00CA5B8D">
              <w:rPr>
                <w:noProof/>
                <w:webHidden/>
              </w:rPr>
              <w:instrText xml:space="preserve"> PAGEREF _Toc95824118 \h </w:instrText>
            </w:r>
            <w:r w:rsidR="00CA5B8D">
              <w:rPr>
                <w:noProof/>
                <w:webHidden/>
              </w:rPr>
            </w:r>
            <w:r w:rsidR="00CA5B8D">
              <w:rPr>
                <w:noProof/>
                <w:webHidden/>
              </w:rPr>
              <w:fldChar w:fldCharType="separate"/>
            </w:r>
            <w:r w:rsidR="00CA5B8D">
              <w:rPr>
                <w:noProof/>
                <w:webHidden/>
              </w:rPr>
              <w:t>74</w:t>
            </w:r>
            <w:r w:rsidR="00CA5B8D">
              <w:rPr>
                <w:noProof/>
                <w:webHidden/>
              </w:rPr>
              <w:fldChar w:fldCharType="end"/>
            </w:r>
          </w:hyperlink>
        </w:p>
        <w:p w14:paraId="6CC7F88D" w14:textId="6B87DB96" w:rsidR="00CA5B8D" w:rsidRDefault="008D0BBE">
          <w:pPr>
            <w:pStyle w:val="TOC1"/>
            <w:rPr>
              <w:rFonts w:asciiTheme="minorHAnsi" w:eastAsiaTheme="minorEastAsia" w:hAnsiTheme="minorHAnsi"/>
              <w:noProof/>
              <w:color w:val="auto"/>
              <w:sz w:val="22"/>
              <w:lang w:eastAsia="en-GB"/>
            </w:rPr>
          </w:pPr>
          <w:hyperlink w:anchor="_Toc95824119" w:history="1">
            <w:r w:rsidR="00CA5B8D" w:rsidRPr="00BC2DD5">
              <w:rPr>
                <w:rStyle w:val="Hyperlink"/>
                <w:noProof/>
              </w:rPr>
              <w:t>8 In conclusion</w:t>
            </w:r>
            <w:r w:rsidR="00CA5B8D">
              <w:rPr>
                <w:noProof/>
                <w:webHidden/>
              </w:rPr>
              <w:tab/>
            </w:r>
            <w:r w:rsidR="00CA5B8D">
              <w:rPr>
                <w:noProof/>
                <w:webHidden/>
              </w:rPr>
              <w:fldChar w:fldCharType="begin"/>
            </w:r>
            <w:r w:rsidR="00CA5B8D">
              <w:rPr>
                <w:noProof/>
                <w:webHidden/>
              </w:rPr>
              <w:instrText xml:space="preserve"> PAGEREF _Toc95824119 \h </w:instrText>
            </w:r>
            <w:r w:rsidR="00CA5B8D">
              <w:rPr>
                <w:noProof/>
                <w:webHidden/>
              </w:rPr>
            </w:r>
            <w:r w:rsidR="00CA5B8D">
              <w:rPr>
                <w:noProof/>
                <w:webHidden/>
              </w:rPr>
              <w:fldChar w:fldCharType="separate"/>
            </w:r>
            <w:r w:rsidR="00CA5B8D">
              <w:rPr>
                <w:noProof/>
                <w:webHidden/>
              </w:rPr>
              <w:t>80</w:t>
            </w:r>
            <w:r w:rsidR="00CA5B8D">
              <w:rPr>
                <w:noProof/>
                <w:webHidden/>
              </w:rPr>
              <w:fldChar w:fldCharType="end"/>
            </w:r>
          </w:hyperlink>
        </w:p>
        <w:p w14:paraId="4E972352" w14:textId="72D621FF" w:rsidR="00CA5B8D" w:rsidRDefault="008D0BBE">
          <w:pPr>
            <w:pStyle w:val="TOC2"/>
            <w:rPr>
              <w:rFonts w:eastAsiaTheme="minorEastAsia"/>
              <w:noProof/>
              <w:color w:val="auto"/>
              <w:sz w:val="22"/>
              <w:lang w:eastAsia="en-GB"/>
            </w:rPr>
          </w:pPr>
          <w:hyperlink w:anchor="_Toc95824120" w:history="1">
            <w:r w:rsidR="00CA5B8D" w:rsidRPr="00BC2DD5">
              <w:rPr>
                <w:rStyle w:val="Hyperlink"/>
                <w:noProof/>
              </w:rPr>
              <w:t>Designing with and by Indigenous language communities</w:t>
            </w:r>
            <w:r w:rsidR="00CA5B8D">
              <w:rPr>
                <w:noProof/>
                <w:webHidden/>
              </w:rPr>
              <w:tab/>
            </w:r>
            <w:r w:rsidR="00CA5B8D">
              <w:rPr>
                <w:noProof/>
                <w:webHidden/>
              </w:rPr>
              <w:fldChar w:fldCharType="begin"/>
            </w:r>
            <w:r w:rsidR="00CA5B8D">
              <w:rPr>
                <w:noProof/>
                <w:webHidden/>
              </w:rPr>
              <w:instrText xml:space="preserve"> PAGEREF _Toc95824120 \h </w:instrText>
            </w:r>
            <w:r w:rsidR="00CA5B8D">
              <w:rPr>
                <w:noProof/>
                <w:webHidden/>
              </w:rPr>
            </w:r>
            <w:r w:rsidR="00CA5B8D">
              <w:rPr>
                <w:noProof/>
                <w:webHidden/>
              </w:rPr>
              <w:fldChar w:fldCharType="separate"/>
            </w:r>
            <w:r w:rsidR="00CA5B8D">
              <w:rPr>
                <w:noProof/>
                <w:webHidden/>
              </w:rPr>
              <w:t>80</w:t>
            </w:r>
            <w:r w:rsidR="00CA5B8D">
              <w:rPr>
                <w:noProof/>
                <w:webHidden/>
              </w:rPr>
              <w:fldChar w:fldCharType="end"/>
            </w:r>
          </w:hyperlink>
        </w:p>
        <w:p w14:paraId="1732E26C" w14:textId="299549B0" w:rsidR="00CA5B8D" w:rsidRDefault="008D0BBE">
          <w:pPr>
            <w:pStyle w:val="TOC2"/>
            <w:rPr>
              <w:rFonts w:eastAsiaTheme="minorEastAsia"/>
              <w:noProof/>
              <w:color w:val="auto"/>
              <w:sz w:val="22"/>
              <w:lang w:eastAsia="en-GB"/>
            </w:rPr>
          </w:pPr>
          <w:hyperlink w:anchor="_Toc95824121" w:history="1">
            <w:r w:rsidR="00CA5B8D" w:rsidRPr="00BC2DD5">
              <w:rPr>
                <w:rStyle w:val="Hyperlink"/>
                <w:noProof/>
              </w:rPr>
              <w:t>Recognising and operationalising Indigenous language ecologies</w:t>
            </w:r>
            <w:r w:rsidR="00CA5B8D">
              <w:rPr>
                <w:noProof/>
                <w:webHidden/>
              </w:rPr>
              <w:tab/>
            </w:r>
            <w:r w:rsidR="00CA5B8D">
              <w:rPr>
                <w:noProof/>
                <w:webHidden/>
              </w:rPr>
              <w:fldChar w:fldCharType="begin"/>
            </w:r>
            <w:r w:rsidR="00CA5B8D">
              <w:rPr>
                <w:noProof/>
                <w:webHidden/>
              </w:rPr>
              <w:instrText xml:space="preserve"> PAGEREF _Toc95824121 \h </w:instrText>
            </w:r>
            <w:r w:rsidR="00CA5B8D">
              <w:rPr>
                <w:noProof/>
                <w:webHidden/>
              </w:rPr>
            </w:r>
            <w:r w:rsidR="00CA5B8D">
              <w:rPr>
                <w:noProof/>
                <w:webHidden/>
              </w:rPr>
              <w:fldChar w:fldCharType="separate"/>
            </w:r>
            <w:r w:rsidR="00CA5B8D">
              <w:rPr>
                <w:noProof/>
                <w:webHidden/>
              </w:rPr>
              <w:t>81</w:t>
            </w:r>
            <w:r w:rsidR="00CA5B8D">
              <w:rPr>
                <w:noProof/>
                <w:webHidden/>
              </w:rPr>
              <w:fldChar w:fldCharType="end"/>
            </w:r>
          </w:hyperlink>
        </w:p>
        <w:p w14:paraId="162516B7" w14:textId="66304392" w:rsidR="00CA5B8D" w:rsidRDefault="008D0BBE">
          <w:pPr>
            <w:pStyle w:val="TOC2"/>
            <w:rPr>
              <w:rFonts w:eastAsiaTheme="minorEastAsia"/>
              <w:noProof/>
              <w:color w:val="auto"/>
              <w:sz w:val="22"/>
              <w:lang w:eastAsia="en-GB"/>
            </w:rPr>
          </w:pPr>
          <w:hyperlink w:anchor="_Toc95824122" w:history="1">
            <w:r w:rsidR="00CA5B8D" w:rsidRPr="00BC2DD5">
              <w:rPr>
                <w:rStyle w:val="Hyperlink"/>
                <w:noProof/>
              </w:rPr>
              <w:t>Reflective practices: language programme goals and evaluations</w:t>
            </w:r>
            <w:r w:rsidR="00CA5B8D">
              <w:rPr>
                <w:noProof/>
                <w:webHidden/>
              </w:rPr>
              <w:tab/>
            </w:r>
            <w:r w:rsidR="00CA5B8D">
              <w:rPr>
                <w:noProof/>
                <w:webHidden/>
              </w:rPr>
              <w:fldChar w:fldCharType="begin"/>
            </w:r>
            <w:r w:rsidR="00CA5B8D">
              <w:rPr>
                <w:noProof/>
                <w:webHidden/>
              </w:rPr>
              <w:instrText xml:space="preserve"> PAGEREF _Toc95824122 \h </w:instrText>
            </w:r>
            <w:r w:rsidR="00CA5B8D">
              <w:rPr>
                <w:noProof/>
                <w:webHidden/>
              </w:rPr>
            </w:r>
            <w:r w:rsidR="00CA5B8D">
              <w:rPr>
                <w:noProof/>
                <w:webHidden/>
              </w:rPr>
              <w:fldChar w:fldCharType="separate"/>
            </w:r>
            <w:r w:rsidR="00CA5B8D">
              <w:rPr>
                <w:noProof/>
                <w:webHidden/>
              </w:rPr>
              <w:t>83</w:t>
            </w:r>
            <w:r w:rsidR="00CA5B8D">
              <w:rPr>
                <w:noProof/>
                <w:webHidden/>
              </w:rPr>
              <w:fldChar w:fldCharType="end"/>
            </w:r>
          </w:hyperlink>
        </w:p>
        <w:p w14:paraId="27E516EA" w14:textId="5AE94A84" w:rsidR="00CA5B8D" w:rsidRDefault="008D0BBE">
          <w:pPr>
            <w:pStyle w:val="TOC2"/>
            <w:rPr>
              <w:rFonts w:eastAsiaTheme="minorEastAsia"/>
              <w:noProof/>
              <w:color w:val="auto"/>
              <w:sz w:val="22"/>
              <w:lang w:eastAsia="en-GB"/>
            </w:rPr>
          </w:pPr>
          <w:hyperlink w:anchor="_Toc95824123" w:history="1">
            <w:r w:rsidR="00CA5B8D" w:rsidRPr="00BC2DD5">
              <w:rPr>
                <w:rStyle w:val="Hyperlink"/>
                <w:noProof/>
              </w:rPr>
              <w:t>Peopling language programmes: training and resourcing language teams</w:t>
            </w:r>
            <w:r w:rsidR="00CA5B8D">
              <w:rPr>
                <w:noProof/>
                <w:webHidden/>
              </w:rPr>
              <w:tab/>
            </w:r>
            <w:r w:rsidR="00CA5B8D">
              <w:rPr>
                <w:noProof/>
                <w:webHidden/>
              </w:rPr>
              <w:fldChar w:fldCharType="begin"/>
            </w:r>
            <w:r w:rsidR="00CA5B8D">
              <w:rPr>
                <w:noProof/>
                <w:webHidden/>
              </w:rPr>
              <w:instrText xml:space="preserve"> PAGEREF _Toc95824123 \h </w:instrText>
            </w:r>
            <w:r w:rsidR="00CA5B8D">
              <w:rPr>
                <w:noProof/>
                <w:webHidden/>
              </w:rPr>
            </w:r>
            <w:r w:rsidR="00CA5B8D">
              <w:rPr>
                <w:noProof/>
                <w:webHidden/>
              </w:rPr>
              <w:fldChar w:fldCharType="separate"/>
            </w:r>
            <w:r w:rsidR="00CA5B8D">
              <w:rPr>
                <w:noProof/>
                <w:webHidden/>
              </w:rPr>
              <w:t>84</w:t>
            </w:r>
            <w:r w:rsidR="00CA5B8D">
              <w:rPr>
                <w:noProof/>
                <w:webHidden/>
              </w:rPr>
              <w:fldChar w:fldCharType="end"/>
            </w:r>
          </w:hyperlink>
        </w:p>
        <w:p w14:paraId="1AACDDD6" w14:textId="4F54E6AD" w:rsidR="00CA5B8D" w:rsidRDefault="008D0BBE">
          <w:pPr>
            <w:pStyle w:val="TOC2"/>
            <w:rPr>
              <w:rFonts w:eastAsiaTheme="minorEastAsia"/>
              <w:noProof/>
              <w:color w:val="auto"/>
              <w:sz w:val="22"/>
              <w:lang w:eastAsia="en-GB"/>
            </w:rPr>
          </w:pPr>
          <w:hyperlink w:anchor="_Toc95824124" w:history="1">
            <w:r w:rsidR="00CA5B8D" w:rsidRPr="00BC2DD5">
              <w:rPr>
                <w:rStyle w:val="Hyperlink"/>
                <w:noProof/>
              </w:rPr>
              <w:t>Teaching and learning resources for language programmes</w:t>
            </w:r>
            <w:r w:rsidR="00CA5B8D">
              <w:rPr>
                <w:noProof/>
                <w:webHidden/>
              </w:rPr>
              <w:tab/>
            </w:r>
            <w:r w:rsidR="00CA5B8D">
              <w:rPr>
                <w:noProof/>
                <w:webHidden/>
              </w:rPr>
              <w:fldChar w:fldCharType="begin"/>
            </w:r>
            <w:r w:rsidR="00CA5B8D">
              <w:rPr>
                <w:noProof/>
                <w:webHidden/>
              </w:rPr>
              <w:instrText xml:space="preserve"> PAGEREF _Toc95824124 \h </w:instrText>
            </w:r>
            <w:r w:rsidR="00CA5B8D">
              <w:rPr>
                <w:noProof/>
                <w:webHidden/>
              </w:rPr>
            </w:r>
            <w:r w:rsidR="00CA5B8D">
              <w:rPr>
                <w:noProof/>
                <w:webHidden/>
              </w:rPr>
              <w:fldChar w:fldCharType="separate"/>
            </w:r>
            <w:r w:rsidR="00CA5B8D">
              <w:rPr>
                <w:noProof/>
                <w:webHidden/>
              </w:rPr>
              <w:t>85</w:t>
            </w:r>
            <w:r w:rsidR="00CA5B8D">
              <w:rPr>
                <w:noProof/>
                <w:webHidden/>
              </w:rPr>
              <w:fldChar w:fldCharType="end"/>
            </w:r>
          </w:hyperlink>
        </w:p>
        <w:p w14:paraId="74C71183" w14:textId="7BA9E5A5" w:rsidR="00CA5B8D" w:rsidRDefault="008D0BBE">
          <w:pPr>
            <w:pStyle w:val="TOC2"/>
            <w:rPr>
              <w:rFonts w:eastAsiaTheme="minorEastAsia"/>
              <w:noProof/>
              <w:color w:val="auto"/>
              <w:sz w:val="22"/>
              <w:lang w:eastAsia="en-GB"/>
            </w:rPr>
          </w:pPr>
          <w:hyperlink w:anchor="_Toc95824125" w:history="1">
            <w:r w:rsidR="00CA5B8D" w:rsidRPr="00BC2DD5">
              <w:rPr>
                <w:rStyle w:val="Hyperlink"/>
                <w:noProof/>
              </w:rPr>
              <w:t>Stable but responsive language programme policy</w:t>
            </w:r>
            <w:r w:rsidR="00CA5B8D">
              <w:rPr>
                <w:noProof/>
                <w:webHidden/>
              </w:rPr>
              <w:tab/>
            </w:r>
            <w:r w:rsidR="00CA5B8D">
              <w:rPr>
                <w:noProof/>
                <w:webHidden/>
              </w:rPr>
              <w:fldChar w:fldCharType="begin"/>
            </w:r>
            <w:r w:rsidR="00CA5B8D">
              <w:rPr>
                <w:noProof/>
                <w:webHidden/>
              </w:rPr>
              <w:instrText xml:space="preserve"> PAGEREF _Toc95824125 \h </w:instrText>
            </w:r>
            <w:r w:rsidR="00CA5B8D">
              <w:rPr>
                <w:noProof/>
                <w:webHidden/>
              </w:rPr>
            </w:r>
            <w:r w:rsidR="00CA5B8D">
              <w:rPr>
                <w:noProof/>
                <w:webHidden/>
              </w:rPr>
              <w:fldChar w:fldCharType="separate"/>
            </w:r>
            <w:r w:rsidR="00CA5B8D">
              <w:rPr>
                <w:noProof/>
                <w:webHidden/>
              </w:rPr>
              <w:t>87</w:t>
            </w:r>
            <w:r w:rsidR="00CA5B8D">
              <w:rPr>
                <w:noProof/>
                <w:webHidden/>
              </w:rPr>
              <w:fldChar w:fldCharType="end"/>
            </w:r>
          </w:hyperlink>
        </w:p>
        <w:p w14:paraId="13F7C654" w14:textId="50E30282" w:rsidR="00CA5B8D" w:rsidRDefault="008D0BBE">
          <w:pPr>
            <w:pStyle w:val="TOC1"/>
            <w:rPr>
              <w:rFonts w:asciiTheme="minorHAnsi" w:eastAsiaTheme="minorEastAsia" w:hAnsiTheme="minorHAnsi"/>
              <w:noProof/>
              <w:color w:val="auto"/>
              <w:sz w:val="22"/>
              <w:lang w:eastAsia="en-GB"/>
            </w:rPr>
          </w:pPr>
          <w:hyperlink w:anchor="_Toc95824126" w:history="1">
            <w:r w:rsidR="00CA5B8D" w:rsidRPr="00BC2DD5">
              <w:rPr>
                <w:rStyle w:val="Hyperlink"/>
                <w:noProof/>
              </w:rPr>
              <w:t>References</w:t>
            </w:r>
            <w:r w:rsidR="00CA5B8D">
              <w:rPr>
                <w:noProof/>
                <w:webHidden/>
              </w:rPr>
              <w:tab/>
            </w:r>
            <w:r w:rsidR="00CA5B8D">
              <w:rPr>
                <w:noProof/>
                <w:webHidden/>
              </w:rPr>
              <w:fldChar w:fldCharType="begin"/>
            </w:r>
            <w:r w:rsidR="00CA5B8D">
              <w:rPr>
                <w:noProof/>
                <w:webHidden/>
              </w:rPr>
              <w:instrText xml:space="preserve"> PAGEREF _Toc95824126 \h </w:instrText>
            </w:r>
            <w:r w:rsidR="00CA5B8D">
              <w:rPr>
                <w:noProof/>
                <w:webHidden/>
              </w:rPr>
            </w:r>
            <w:r w:rsidR="00CA5B8D">
              <w:rPr>
                <w:noProof/>
                <w:webHidden/>
              </w:rPr>
              <w:fldChar w:fldCharType="separate"/>
            </w:r>
            <w:r w:rsidR="00CA5B8D">
              <w:rPr>
                <w:noProof/>
                <w:webHidden/>
              </w:rPr>
              <w:t>89</w:t>
            </w:r>
            <w:r w:rsidR="00CA5B8D">
              <w:rPr>
                <w:noProof/>
                <w:webHidden/>
              </w:rPr>
              <w:fldChar w:fldCharType="end"/>
            </w:r>
          </w:hyperlink>
        </w:p>
        <w:p w14:paraId="22FACA7B" w14:textId="77C47A82" w:rsidR="00CA5B8D" w:rsidRDefault="00CA5B8D" w:rsidP="00EC017A">
          <w:pPr>
            <w:pStyle w:val="Para0"/>
            <w:rPr>
              <w:noProof/>
              <w:lang w:val="en-US"/>
            </w:rPr>
          </w:pPr>
          <w:r>
            <w:rPr>
              <w:rFonts w:asciiTheme="majorHAnsi" w:hAnsiTheme="majorHAnsi"/>
              <w:b/>
              <w:bCs/>
              <w:noProof/>
              <w:color w:val="4E81BD" w:themeColor="accent1"/>
              <w:sz w:val="3276"/>
              <w:lang w:val="en-US"/>
            </w:rPr>
            <w:fldChar w:fldCharType="end"/>
          </w:r>
        </w:p>
        <w:p w14:paraId="0A368729" w14:textId="77777777" w:rsidR="00CA5B8D" w:rsidRDefault="00CA5B8D" w:rsidP="00351861">
          <w:pPr>
            <w:pStyle w:val="Subtitle"/>
            <w:rPr>
              <w:noProof/>
              <w:lang w:val="en-US"/>
            </w:rPr>
          </w:pPr>
          <w:r>
            <w:rPr>
              <w:noProof/>
              <w:lang w:val="en-US"/>
            </w:rPr>
            <w:t>FIGURES</w:t>
          </w:r>
        </w:p>
        <w:p w14:paraId="6F3A637F" w14:textId="61726704" w:rsidR="00CA5B8D" w:rsidRDefault="00CA5B8D">
          <w:pPr>
            <w:pStyle w:val="TableofFigures"/>
            <w:rPr>
              <w:rFonts w:eastAsiaTheme="minorEastAsia"/>
              <w:noProof/>
              <w:color w:val="auto"/>
              <w:sz w:val="22"/>
              <w:lang w:eastAsia="en-GB"/>
            </w:rPr>
          </w:pPr>
          <w:r>
            <w:rPr>
              <w:lang w:val="en-US"/>
            </w:rPr>
            <w:fldChar w:fldCharType="begin"/>
          </w:r>
          <w:r>
            <w:rPr>
              <w:lang w:val="en-US"/>
            </w:rPr>
            <w:instrText xml:space="preserve"> TOC \h \z \c "Figure" </w:instrText>
          </w:r>
          <w:r>
            <w:rPr>
              <w:lang w:val="en-US"/>
            </w:rPr>
            <w:fldChar w:fldCharType="separate"/>
          </w:r>
          <w:hyperlink w:anchor="_Toc95824127" w:history="1">
            <w:r w:rsidRPr="00E77EB6">
              <w:rPr>
                <w:rStyle w:val="Hyperlink"/>
                <w:noProof/>
              </w:rPr>
              <w:t>Figure 2.1. Aboriginal and Torres Strait Islander Language spoken at home, 1991-2016</w:t>
            </w:r>
            <w:r>
              <w:rPr>
                <w:noProof/>
                <w:webHidden/>
              </w:rPr>
              <w:tab/>
            </w:r>
            <w:r>
              <w:rPr>
                <w:noProof/>
                <w:webHidden/>
              </w:rPr>
              <w:fldChar w:fldCharType="begin"/>
            </w:r>
            <w:r>
              <w:rPr>
                <w:noProof/>
                <w:webHidden/>
              </w:rPr>
              <w:instrText xml:space="preserve"> PAGEREF _Toc95824127 \h </w:instrText>
            </w:r>
            <w:r>
              <w:rPr>
                <w:noProof/>
                <w:webHidden/>
              </w:rPr>
            </w:r>
            <w:r>
              <w:rPr>
                <w:noProof/>
                <w:webHidden/>
              </w:rPr>
              <w:fldChar w:fldCharType="separate"/>
            </w:r>
            <w:r>
              <w:rPr>
                <w:noProof/>
                <w:webHidden/>
              </w:rPr>
              <w:t>14</w:t>
            </w:r>
            <w:r>
              <w:rPr>
                <w:noProof/>
                <w:webHidden/>
              </w:rPr>
              <w:fldChar w:fldCharType="end"/>
            </w:r>
          </w:hyperlink>
        </w:p>
        <w:p w14:paraId="2E07DF1F" w14:textId="68441937" w:rsidR="00CA5B8D" w:rsidRDefault="008D0BBE">
          <w:pPr>
            <w:pStyle w:val="TableofFigures"/>
            <w:rPr>
              <w:rFonts w:eastAsiaTheme="minorEastAsia"/>
              <w:noProof/>
              <w:color w:val="auto"/>
              <w:sz w:val="22"/>
              <w:lang w:eastAsia="en-GB"/>
            </w:rPr>
          </w:pPr>
          <w:hyperlink w:anchor="_Toc95824128" w:history="1">
            <w:r w:rsidR="00CA5B8D" w:rsidRPr="00E77EB6">
              <w:rPr>
                <w:rStyle w:val="Hyperlink"/>
                <w:noProof/>
              </w:rPr>
              <w:t>Figure 2.2. Indigenous languages most spoken at home</w:t>
            </w:r>
            <w:r w:rsidR="00CA5B8D">
              <w:rPr>
                <w:noProof/>
                <w:webHidden/>
              </w:rPr>
              <w:tab/>
            </w:r>
            <w:r w:rsidR="00CA5B8D">
              <w:rPr>
                <w:noProof/>
                <w:webHidden/>
              </w:rPr>
              <w:fldChar w:fldCharType="begin"/>
            </w:r>
            <w:r w:rsidR="00CA5B8D">
              <w:rPr>
                <w:noProof/>
                <w:webHidden/>
              </w:rPr>
              <w:instrText xml:space="preserve"> PAGEREF _Toc95824128 \h </w:instrText>
            </w:r>
            <w:r w:rsidR="00CA5B8D">
              <w:rPr>
                <w:noProof/>
                <w:webHidden/>
              </w:rPr>
            </w:r>
            <w:r w:rsidR="00CA5B8D">
              <w:rPr>
                <w:noProof/>
                <w:webHidden/>
              </w:rPr>
              <w:fldChar w:fldCharType="separate"/>
            </w:r>
            <w:r w:rsidR="00CA5B8D">
              <w:rPr>
                <w:noProof/>
                <w:webHidden/>
              </w:rPr>
              <w:t>15</w:t>
            </w:r>
            <w:r w:rsidR="00CA5B8D">
              <w:rPr>
                <w:noProof/>
                <w:webHidden/>
              </w:rPr>
              <w:fldChar w:fldCharType="end"/>
            </w:r>
          </w:hyperlink>
        </w:p>
        <w:p w14:paraId="7F0775F5" w14:textId="4E7AEEFB" w:rsidR="00CA5B8D" w:rsidRDefault="008D0BBE">
          <w:pPr>
            <w:pStyle w:val="TableofFigures"/>
            <w:rPr>
              <w:rFonts w:eastAsiaTheme="minorEastAsia"/>
              <w:noProof/>
              <w:color w:val="auto"/>
              <w:sz w:val="22"/>
              <w:lang w:eastAsia="en-GB"/>
            </w:rPr>
          </w:pPr>
          <w:hyperlink w:anchor="_Toc95824129" w:history="1">
            <w:r w:rsidR="00CA5B8D" w:rsidRPr="00E77EB6">
              <w:rPr>
                <w:rStyle w:val="Hyperlink"/>
                <w:noProof/>
              </w:rPr>
              <w:t>Figure 3.1. School leavers with National Certificate of Educational Achievement Level 3</w:t>
            </w:r>
            <w:r w:rsidR="00CA5B8D">
              <w:rPr>
                <w:noProof/>
                <w:webHidden/>
              </w:rPr>
              <w:tab/>
            </w:r>
            <w:r w:rsidR="00CA5B8D">
              <w:rPr>
                <w:noProof/>
                <w:webHidden/>
              </w:rPr>
              <w:fldChar w:fldCharType="begin"/>
            </w:r>
            <w:r w:rsidR="00CA5B8D">
              <w:rPr>
                <w:noProof/>
                <w:webHidden/>
              </w:rPr>
              <w:instrText xml:space="preserve"> PAGEREF _Toc95824129 \h </w:instrText>
            </w:r>
            <w:r w:rsidR="00CA5B8D">
              <w:rPr>
                <w:noProof/>
                <w:webHidden/>
              </w:rPr>
            </w:r>
            <w:r w:rsidR="00CA5B8D">
              <w:rPr>
                <w:noProof/>
                <w:webHidden/>
              </w:rPr>
              <w:fldChar w:fldCharType="separate"/>
            </w:r>
            <w:r w:rsidR="00CA5B8D">
              <w:rPr>
                <w:noProof/>
                <w:webHidden/>
              </w:rPr>
              <w:t>31</w:t>
            </w:r>
            <w:r w:rsidR="00CA5B8D">
              <w:rPr>
                <w:noProof/>
                <w:webHidden/>
              </w:rPr>
              <w:fldChar w:fldCharType="end"/>
            </w:r>
          </w:hyperlink>
        </w:p>
        <w:p w14:paraId="5C454611" w14:textId="0E481577" w:rsidR="00CA5B8D" w:rsidRDefault="008D0BBE">
          <w:pPr>
            <w:pStyle w:val="TableofFigures"/>
            <w:rPr>
              <w:rFonts w:eastAsiaTheme="minorEastAsia"/>
              <w:noProof/>
              <w:color w:val="auto"/>
              <w:sz w:val="22"/>
              <w:lang w:eastAsia="en-GB"/>
            </w:rPr>
          </w:pPr>
          <w:hyperlink w:anchor="_Toc95824130" w:history="1">
            <w:r w:rsidR="00CA5B8D" w:rsidRPr="00E77EB6">
              <w:rPr>
                <w:rStyle w:val="Hyperlink"/>
                <w:noProof/>
              </w:rPr>
              <w:t>Figure 8.1. Talking about local language ecology/individual repertoires</w:t>
            </w:r>
            <w:r w:rsidR="00CA5B8D">
              <w:rPr>
                <w:noProof/>
                <w:webHidden/>
              </w:rPr>
              <w:tab/>
            </w:r>
            <w:r w:rsidR="00CA5B8D">
              <w:rPr>
                <w:noProof/>
                <w:webHidden/>
              </w:rPr>
              <w:fldChar w:fldCharType="begin"/>
            </w:r>
            <w:r w:rsidR="00CA5B8D">
              <w:rPr>
                <w:noProof/>
                <w:webHidden/>
              </w:rPr>
              <w:instrText xml:space="preserve"> PAGEREF _Toc95824130 \h </w:instrText>
            </w:r>
            <w:r w:rsidR="00CA5B8D">
              <w:rPr>
                <w:noProof/>
                <w:webHidden/>
              </w:rPr>
            </w:r>
            <w:r w:rsidR="00CA5B8D">
              <w:rPr>
                <w:noProof/>
                <w:webHidden/>
              </w:rPr>
              <w:fldChar w:fldCharType="separate"/>
            </w:r>
            <w:r w:rsidR="00CA5B8D">
              <w:rPr>
                <w:noProof/>
                <w:webHidden/>
              </w:rPr>
              <w:t>82</w:t>
            </w:r>
            <w:r w:rsidR="00CA5B8D">
              <w:rPr>
                <w:noProof/>
                <w:webHidden/>
              </w:rPr>
              <w:fldChar w:fldCharType="end"/>
            </w:r>
          </w:hyperlink>
        </w:p>
        <w:p w14:paraId="689DE300" w14:textId="1729060A" w:rsidR="00CA5B8D" w:rsidRDefault="008D0BBE">
          <w:pPr>
            <w:pStyle w:val="TableofFigures"/>
            <w:rPr>
              <w:rFonts w:eastAsiaTheme="minorEastAsia"/>
              <w:noProof/>
              <w:color w:val="auto"/>
              <w:sz w:val="22"/>
              <w:lang w:eastAsia="en-GB"/>
            </w:rPr>
          </w:pPr>
          <w:hyperlink w:anchor="_Toc95824131" w:history="1">
            <w:r w:rsidR="00CA5B8D" w:rsidRPr="00E77EB6">
              <w:rPr>
                <w:rStyle w:val="Hyperlink"/>
                <w:noProof/>
              </w:rPr>
              <w:t>Figure 8.2. How student languages are supported by the school</w:t>
            </w:r>
            <w:r w:rsidR="00CA5B8D">
              <w:rPr>
                <w:noProof/>
                <w:webHidden/>
              </w:rPr>
              <w:tab/>
            </w:r>
            <w:r w:rsidR="00CA5B8D">
              <w:rPr>
                <w:noProof/>
                <w:webHidden/>
              </w:rPr>
              <w:fldChar w:fldCharType="begin"/>
            </w:r>
            <w:r w:rsidR="00CA5B8D">
              <w:rPr>
                <w:noProof/>
                <w:webHidden/>
              </w:rPr>
              <w:instrText xml:space="preserve"> PAGEREF _Toc95824131 \h </w:instrText>
            </w:r>
            <w:r w:rsidR="00CA5B8D">
              <w:rPr>
                <w:noProof/>
                <w:webHidden/>
              </w:rPr>
            </w:r>
            <w:r w:rsidR="00CA5B8D">
              <w:rPr>
                <w:noProof/>
                <w:webHidden/>
              </w:rPr>
              <w:fldChar w:fldCharType="separate"/>
            </w:r>
            <w:r w:rsidR="00CA5B8D">
              <w:rPr>
                <w:noProof/>
                <w:webHidden/>
              </w:rPr>
              <w:t>82</w:t>
            </w:r>
            <w:r w:rsidR="00CA5B8D">
              <w:rPr>
                <w:noProof/>
                <w:webHidden/>
              </w:rPr>
              <w:fldChar w:fldCharType="end"/>
            </w:r>
          </w:hyperlink>
        </w:p>
        <w:p w14:paraId="68EBE564" w14:textId="6D339725" w:rsidR="00CA5B8D" w:rsidRDefault="00CA5B8D" w:rsidP="00351861">
          <w:pPr>
            <w:pStyle w:val="Para0"/>
            <w:rPr>
              <w:lang w:val="en-US"/>
            </w:rPr>
          </w:pPr>
          <w:r>
            <w:rPr>
              <w:lang w:val="en-US"/>
            </w:rPr>
            <w:fldChar w:fldCharType="end"/>
          </w:r>
        </w:p>
        <w:p w14:paraId="3CCC21B1" w14:textId="510B5BE1" w:rsidR="00CA5B8D" w:rsidRDefault="00CA5B8D" w:rsidP="00351861">
          <w:pPr>
            <w:pStyle w:val="Para0"/>
            <w:rPr>
              <w:lang w:val="en-US"/>
            </w:rPr>
          </w:pPr>
          <w:r>
            <w:rPr>
              <w:lang w:val="en-US"/>
            </w:rPr>
            <w:fldChar w:fldCharType="begin"/>
          </w:r>
          <w:r>
            <w:rPr>
              <w:lang w:val="en-US"/>
            </w:rPr>
            <w:instrText xml:space="preserve"> TOC \h \z \c "Annex Figure" </w:instrText>
          </w:r>
          <w:r>
            <w:rPr>
              <w:lang w:val="en-US"/>
            </w:rPr>
            <w:fldChar w:fldCharType="separate"/>
          </w:r>
          <w:r>
            <w:rPr>
              <w:b/>
              <w:bCs/>
              <w:noProof/>
              <w:lang w:val="en-US"/>
            </w:rPr>
            <w:t>No table of figures entries found.</w:t>
          </w:r>
          <w:r>
            <w:rPr>
              <w:lang w:val="en-US"/>
            </w:rPr>
            <w:fldChar w:fldCharType="end"/>
          </w:r>
        </w:p>
        <w:p w14:paraId="7E356082" w14:textId="484B4524" w:rsidR="00CA5B8D" w:rsidRPr="00351861" w:rsidRDefault="00CA5B8D" w:rsidP="00351861">
          <w:pPr>
            <w:pStyle w:val="Para0"/>
            <w:rPr>
              <w:lang w:val="en-US"/>
            </w:rPr>
          </w:pPr>
          <w:r>
            <w:rPr>
              <w:lang w:val="en-US"/>
            </w:rPr>
            <w:fldChar w:fldCharType="begin"/>
          </w:r>
          <w:r>
            <w:rPr>
              <w:lang w:val="en-US"/>
            </w:rPr>
            <w:instrText xml:space="preserve"> TOC \h \z \c "Figure A" </w:instrText>
          </w:r>
          <w:r>
            <w:rPr>
              <w:lang w:val="en-US"/>
            </w:rPr>
            <w:fldChar w:fldCharType="separate"/>
          </w:r>
          <w:r>
            <w:rPr>
              <w:b/>
              <w:bCs/>
              <w:noProof/>
              <w:lang w:val="en-US"/>
            </w:rPr>
            <w:t>No table of figures entries found.</w:t>
          </w:r>
          <w:r>
            <w:rPr>
              <w:lang w:val="en-US"/>
            </w:rPr>
            <w:fldChar w:fldCharType="end"/>
          </w:r>
        </w:p>
        <w:p w14:paraId="60C459EE" w14:textId="77777777" w:rsidR="00CA5B8D" w:rsidRDefault="00CA5B8D" w:rsidP="00351861">
          <w:pPr>
            <w:pStyle w:val="Subtitle"/>
            <w:rPr>
              <w:lang w:val="en-US"/>
            </w:rPr>
          </w:pPr>
          <w:r>
            <w:rPr>
              <w:lang w:val="en-US"/>
            </w:rPr>
            <w:t>INFOGRAPHICS</w:t>
          </w:r>
        </w:p>
        <w:p w14:paraId="67BADF4B" w14:textId="31B36BC1" w:rsidR="00CA5B8D" w:rsidRPr="00351861" w:rsidRDefault="00CA5B8D" w:rsidP="00351861">
          <w:pPr>
            <w:pStyle w:val="Para0"/>
            <w:rPr>
              <w:lang w:val="en-US"/>
            </w:rPr>
          </w:pPr>
          <w:r>
            <w:rPr>
              <w:b/>
              <w:bCs/>
              <w:noProof/>
              <w:sz w:val="18"/>
              <w:lang w:val="en-US"/>
            </w:rPr>
            <w:fldChar w:fldCharType="begin"/>
          </w:r>
          <w:r>
            <w:rPr>
              <w:b/>
              <w:bCs/>
              <w:noProof/>
              <w:lang w:val="en-US"/>
            </w:rPr>
            <w:instrText xml:space="preserve"> TOC \h \z \c "Infographic" </w:instrText>
          </w:r>
          <w:r>
            <w:rPr>
              <w:b/>
              <w:bCs/>
              <w:noProof/>
              <w:sz w:val="18"/>
              <w:lang w:val="en-US"/>
            </w:rPr>
            <w:fldChar w:fldCharType="separate"/>
          </w:r>
          <w:r>
            <w:rPr>
              <w:noProof/>
              <w:sz w:val="18"/>
              <w:lang w:val="en-US"/>
            </w:rPr>
            <w:t>No table of figures entries found.</w:t>
          </w:r>
          <w:r>
            <w:rPr>
              <w:b/>
              <w:bCs/>
              <w:noProof/>
              <w:lang w:val="en-US"/>
            </w:rPr>
            <w:fldChar w:fldCharType="end"/>
          </w:r>
        </w:p>
        <w:p w14:paraId="0715264D" w14:textId="77777777" w:rsidR="00CA5B8D" w:rsidRDefault="00CA5B8D" w:rsidP="0060042C">
          <w:pPr>
            <w:pStyle w:val="Subtitle"/>
          </w:pPr>
          <w:r>
            <w:t>TABLES</w:t>
          </w:r>
        </w:p>
        <w:p w14:paraId="21E3821A" w14:textId="6EF7EA3B" w:rsidR="00CA5B8D" w:rsidRDefault="00CA5B8D">
          <w:pPr>
            <w:pStyle w:val="TableofFigures"/>
            <w:rPr>
              <w:rFonts w:eastAsiaTheme="minorEastAsia"/>
              <w:noProof/>
              <w:color w:val="auto"/>
              <w:sz w:val="22"/>
              <w:lang w:eastAsia="en-GB"/>
            </w:rPr>
          </w:pPr>
          <w:r>
            <w:rPr>
              <w:b/>
              <w:bCs/>
              <w:noProof/>
              <w:lang w:val="en-US"/>
            </w:rPr>
            <w:fldChar w:fldCharType="begin"/>
          </w:r>
          <w:r>
            <w:rPr>
              <w:b/>
              <w:bCs/>
              <w:noProof/>
              <w:lang w:val="en-US"/>
            </w:rPr>
            <w:instrText xml:space="preserve"> TOC \h \z \c "Table" </w:instrText>
          </w:r>
          <w:r>
            <w:rPr>
              <w:b/>
              <w:bCs/>
              <w:noProof/>
              <w:lang w:val="en-US"/>
            </w:rPr>
            <w:fldChar w:fldCharType="separate"/>
          </w:r>
          <w:hyperlink w:anchor="_Toc95824132" w:history="1">
            <w:r w:rsidRPr="00576C3A">
              <w:rPr>
                <w:rStyle w:val="Hyperlink"/>
                <w:noProof/>
              </w:rPr>
              <w:t>Table 2.1. Proportion of Māori speakers amongst Māori, 2001–2013</w:t>
            </w:r>
            <w:r>
              <w:rPr>
                <w:noProof/>
                <w:webHidden/>
              </w:rPr>
              <w:tab/>
            </w:r>
            <w:r>
              <w:rPr>
                <w:noProof/>
                <w:webHidden/>
              </w:rPr>
              <w:fldChar w:fldCharType="begin"/>
            </w:r>
            <w:r>
              <w:rPr>
                <w:noProof/>
                <w:webHidden/>
              </w:rPr>
              <w:instrText xml:space="preserve"> PAGEREF _Toc95824132 \h </w:instrText>
            </w:r>
            <w:r>
              <w:rPr>
                <w:noProof/>
                <w:webHidden/>
              </w:rPr>
            </w:r>
            <w:r>
              <w:rPr>
                <w:noProof/>
                <w:webHidden/>
              </w:rPr>
              <w:fldChar w:fldCharType="separate"/>
            </w:r>
            <w:r>
              <w:rPr>
                <w:noProof/>
                <w:webHidden/>
              </w:rPr>
              <w:t>13</w:t>
            </w:r>
            <w:r>
              <w:rPr>
                <w:noProof/>
                <w:webHidden/>
              </w:rPr>
              <w:fldChar w:fldCharType="end"/>
            </w:r>
          </w:hyperlink>
        </w:p>
        <w:p w14:paraId="3002F58A" w14:textId="25851518" w:rsidR="00CA5B8D" w:rsidRDefault="008D0BBE">
          <w:pPr>
            <w:pStyle w:val="TableofFigures"/>
            <w:rPr>
              <w:rFonts w:eastAsiaTheme="minorEastAsia"/>
              <w:noProof/>
              <w:color w:val="auto"/>
              <w:sz w:val="22"/>
              <w:lang w:eastAsia="en-GB"/>
            </w:rPr>
          </w:pPr>
          <w:hyperlink w:anchor="_Toc95824133" w:history="1">
            <w:r w:rsidR="00CA5B8D" w:rsidRPr="00576C3A">
              <w:rPr>
                <w:rStyle w:val="Hyperlink"/>
                <w:noProof/>
              </w:rPr>
              <w:t>Table 2.2. Indigenous languages speaker numbers and concentrations in 2016</w:t>
            </w:r>
            <w:r w:rsidR="00CA5B8D">
              <w:rPr>
                <w:noProof/>
                <w:webHidden/>
              </w:rPr>
              <w:tab/>
            </w:r>
            <w:r w:rsidR="00CA5B8D">
              <w:rPr>
                <w:noProof/>
                <w:webHidden/>
              </w:rPr>
              <w:fldChar w:fldCharType="begin"/>
            </w:r>
            <w:r w:rsidR="00CA5B8D">
              <w:rPr>
                <w:noProof/>
                <w:webHidden/>
              </w:rPr>
              <w:instrText xml:space="preserve"> PAGEREF _Toc95824133 \h </w:instrText>
            </w:r>
            <w:r w:rsidR="00CA5B8D">
              <w:rPr>
                <w:noProof/>
                <w:webHidden/>
              </w:rPr>
            </w:r>
            <w:r w:rsidR="00CA5B8D">
              <w:rPr>
                <w:noProof/>
                <w:webHidden/>
              </w:rPr>
              <w:fldChar w:fldCharType="separate"/>
            </w:r>
            <w:r w:rsidR="00CA5B8D">
              <w:rPr>
                <w:noProof/>
                <w:webHidden/>
              </w:rPr>
              <w:t>16</w:t>
            </w:r>
            <w:r w:rsidR="00CA5B8D">
              <w:rPr>
                <w:noProof/>
                <w:webHidden/>
              </w:rPr>
              <w:fldChar w:fldCharType="end"/>
            </w:r>
          </w:hyperlink>
        </w:p>
        <w:p w14:paraId="7C927DA7" w14:textId="5270DB91" w:rsidR="00CA5B8D" w:rsidRDefault="008D0BBE">
          <w:pPr>
            <w:pStyle w:val="TableofFigures"/>
            <w:rPr>
              <w:rFonts w:eastAsiaTheme="minorEastAsia"/>
              <w:noProof/>
              <w:color w:val="auto"/>
              <w:sz w:val="22"/>
              <w:lang w:eastAsia="en-GB"/>
            </w:rPr>
          </w:pPr>
          <w:hyperlink w:anchor="_Toc95824134" w:history="1">
            <w:r w:rsidR="00CA5B8D" w:rsidRPr="00576C3A">
              <w:rPr>
                <w:rStyle w:val="Hyperlink"/>
                <w:noProof/>
              </w:rPr>
              <w:t>Table 3.1. Māori-medium school leavers compared to whole Māori cohort</w:t>
            </w:r>
            <w:r w:rsidR="00CA5B8D">
              <w:rPr>
                <w:noProof/>
                <w:webHidden/>
              </w:rPr>
              <w:tab/>
            </w:r>
            <w:r w:rsidR="00CA5B8D">
              <w:rPr>
                <w:noProof/>
                <w:webHidden/>
              </w:rPr>
              <w:fldChar w:fldCharType="begin"/>
            </w:r>
            <w:r w:rsidR="00CA5B8D">
              <w:rPr>
                <w:noProof/>
                <w:webHidden/>
              </w:rPr>
              <w:instrText xml:space="preserve"> PAGEREF _Toc95824134 \h </w:instrText>
            </w:r>
            <w:r w:rsidR="00CA5B8D">
              <w:rPr>
                <w:noProof/>
                <w:webHidden/>
              </w:rPr>
            </w:r>
            <w:r w:rsidR="00CA5B8D">
              <w:rPr>
                <w:noProof/>
                <w:webHidden/>
              </w:rPr>
              <w:fldChar w:fldCharType="separate"/>
            </w:r>
            <w:r w:rsidR="00CA5B8D">
              <w:rPr>
                <w:noProof/>
                <w:webHidden/>
              </w:rPr>
              <w:t>29</w:t>
            </w:r>
            <w:r w:rsidR="00CA5B8D">
              <w:rPr>
                <w:noProof/>
                <w:webHidden/>
              </w:rPr>
              <w:fldChar w:fldCharType="end"/>
            </w:r>
          </w:hyperlink>
        </w:p>
        <w:p w14:paraId="1AEB7DA9" w14:textId="000050CB" w:rsidR="00CA5B8D" w:rsidRDefault="008D0BBE">
          <w:pPr>
            <w:pStyle w:val="TableofFigures"/>
            <w:rPr>
              <w:rFonts w:eastAsiaTheme="minorEastAsia"/>
              <w:noProof/>
              <w:color w:val="auto"/>
              <w:sz w:val="22"/>
              <w:lang w:eastAsia="en-GB"/>
            </w:rPr>
          </w:pPr>
          <w:hyperlink w:anchor="_Toc95824135" w:history="1">
            <w:r w:rsidR="00CA5B8D" w:rsidRPr="00576C3A">
              <w:rPr>
                <w:rStyle w:val="Hyperlink"/>
                <w:noProof/>
              </w:rPr>
              <w:t>Table 6.1. Children's languages and school taught additional languages</w:t>
            </w:r>
            <w:r w:rsidR="00CA5B8D">
              <w:rPr>
                <w:noProof/>
                <w:webHidden/>
              </w:rPr>
              <w:tab/>
            </w:r>
            <w:r w:rsidR="00CA5B8D">
              <w:rPr>
                <w:noProof/>
                <w:webHidden/>
              </w:rPr>
              <w:fldChar w:fldCharType="begin"/>
            </w:r>
            <w:r w:rsidR="00CA5B8D">
              <w:rPr>
                <w:noProof/>
                <w:webHidden/>
              </w:rPr>
              <w:instrText xml:space="preserve"> PAGEREF _Toc95824135 \h </w:instrText>
            </w:r>
            <w:r w:rsidR="00CA5B8D">
              <w:rPr>
                <w:noProof/>
                <w:webHidden/>
              </w:rPr>
            </w:r>
            <w:r w:rsidR="00CA5B8D">
              <w:rPr>
                <w:noProof/>
                <w:webHidden/>
              </w:rPr>
              <w:fldChar w:fldCharType="separate"/>
            </w:r>
            <w:r w:rsidR="00CA5B8D">
              <w:rPr>
                <w:noProof/>
                <w:webHidden/>
              </w:rPr>
              <w:t>60</w:t>
            </w:r>
            <w:r w:rsidR="00CA5B8D">
              <w:rPr>
                <w:noProof/>
                <w:webHidden/>
              </w:rPr>
              <w:fldChar w:fldCharType="end"/>
            </w:r>
          </w:hyperlink>
        </w:p>
        <w:p w14:paraId="516B1A95" w14:textId="113E6634" w:rsidR="00CA5B8D" w:rsidRDefault="00CA5B8D" w:rsidP="007956A2">
          <w:pPr>
            <w:pStyle w:val="Para0"/>
          </w:pPr>
          <w:r>
            <w:rPr>
              <w:b/>
              <w:bCs/>
              <w:noProof/>
              <w:lang w:val="en-US"/>
            </w:rPr>
            <w:fldChar w:fldCharType="end"/>
          </w:r>
        </w:p>
        <w:p w14:paraId="14E7B254" w14:textId="6FDB541D" w:rsidR="00CA5B8D" w:rsidRDefault="00CA5B8D" w:rsidP="007956A2">
          <w:pPr>
            <w:pStyle w:val="Para0"/>
          </w:pPr>
          <w:r>
            <w:rPr>
              <w:b/>
              <w:bCs/>
              <w:noProof/>
              <w:lang w:val="en-US"/>
            </w:rPr>
            <w:fldChar w:fldCharType="begin"/>
          </w:r>
          <w:r>
            <w:rPr>
              <w:b/>
              <w:bCs/>
              <w:noProof/>
              <w:lang w:val="en-US"/>
            </w:rPr>
            <w:instrText xml:space="preserve"> TOC \h \z \c "Annex Table" </w:instrText>
          </w:r>
          <w:r>
            <w:rPr>
              <w:b/>
              <w:bCs/>
              <w:noProof/>
              <w:lang w:val="en-US"/>
            </w:rPr>
            <w:fldChar w:fldCharType="separate"/>
          </w:r>
          <w:r>
            <w:rPr>
              <w:noProof/>
              <w:lang w:val="en-US"/>
            </w:rPr>
            <w:t>No table of figures entries found.</w:t>
          </w:r>
          <w:r>
            <w:rPr>
              <w:b/>
              <w:bCs/>
              <w:noProof/>
              <w:lang w:val="en-US"/>
            </w:rPr>
            <w:fldChar w:fldCharType="end"/>
          </w:r>
        </w:p>
        <w:p w14:paraId="17B0FF15" w14:textId="505C4722" w:rsidR="00CA5B8D" w:rsidRPr="00EC017A" w:rsidRDefault="00CA5B8D" w:rsidP="00EC017A">
          <w:pPr>
            <w:pStyle w:val="Para0"/>
          </w:pPr>
          <w:r>
            <w:rPr>
              <w:b/>
              <w:bCs/>
              <w:noProof/>
              <w:lang w:val="en-US"/>
            </w:rPr>
            <w:fldChar w:fldCharType="begin"/>
          </w:r>
          <w:r>
            <w:rPr>
              <w:b/>
              <w:bCs/>
              <w:noProof/>
              <w:lang w:val="en-US"/>
            </w:rPr>
            <w:instrText xml:space="preserve"> TOC \h \z \c "Table A" </w:instrText>
          </w:r>
          <w:r>
            <w:rPr>
              <w:b/>
              <w:bCs/>
              <w:noProof/>
              <w:lang w:val="en-US"/>
            </w:rPr>
            <w:fldChar w:fldCharType="separate"/>
          </w:r>
          <w:r>
            <w:rPr>
              <w:noProof/>
              <w:lang w:val="en-US"/>
            </w:rPr>
            <w:t>No table of figures entries found.</w:t>
          </w:r>
          <w:r>
            <w:rPr>
              <w:b/>
              <w:bCs/>
              <w:noProof/>
              <w:lang w:val="en-US"/>
            </w:rPr>
            <w:fldChar w:fldCharType="end"/>
          </w:r>
        </w:p>
      </w:sdtContent>
    </w:sdt>
    <w:p w14:paraId="680BE52B" w14:textId="77777777" w:rsidR="006145A3" w:rsidRDefault="006145A3" w:rsidP="003E4CEC">
      <w:pPr>
        <w:widowControl/>
        <w:spacing w:after="200" w:line="276" w:lineRule="auto"/>
        <w:jc w:val="left"/>
        <w:rPr>
          <w:color w:val="000000" w:themeColor="text1"/>
          <w:sz w:val="20"/>
        </w:rPr>
      </w:pPr>
    </w:p>
    <w:p w14:paraId="2B639736" w14:textId="77777777" w:rsidR="006145A3" w:rsidRDefault="006145A3" w:rsidP="003E4CEC">
      <w:pPr>
        <w:pStyle w:val="Title"/>
      </w:pPr>
      <w:bookmarkStart w:id="3" w:name="_Toc95824088"/>
      <w:r w:rsidRPr="003F6245">
        <w:lastRenderedPageBreak/>
        <w:t>Notes on terminology</w:t>
      </w:r>
      <w:bookmarkEnd w:id="3"/>
    </w:p>
    <w:p w14:paraId="26ACBE5F" w14:textId="77777777" w:rsidR="006145A3" w:rsidRPr="003F6245" w:rsidRDefault="006145A3" w:rsidP="003E4CEC">
      <w:pPr>
        <w:pStyle w:val="Para0"/>
      </w:pPr>
      <w:r>
        <w:t>The term “</w:t>
      </w:r>
      <w:r w:rsidRPr="003F6245">
        <w:t>Indigenous</w:t>
      </w:r>
      <w:r>
        <w:t>”</w:t>
      </w:r>
      <w:r w:rsidRPr="003F6245">
        <w:t xml:space="preserve"> in this working paper follows the usage in current international conventions. Here it is used to refer to the first and original inhabitants of Australia, the Aboriginal and Torres Strait Islander peoples; of Canada, the First Nations peoples, the Inuit and the Métis Nation; and the Māori people of Aotearoa New Zealand, as well as the Cook Islanders, Niueans and Tokelauans of the Realm of N</w:t>
      </w:r>
      <w:r>
        <w:t>ew Zealand. The bilingual term “</w:t>
      </w:r>
      <w:r w:rsidRPr="003F6245">
        <w:t>Aotearoa New Zealand</w:t>
      </w:r>
      <w:r>
        <w:t>”</w:t>
      </w:r>
      <w:r w:rsidRPr="003F6245">
        <w:t xml:space="preserve"> is used throughout the report.</w:t>
      </w:r>
    </w:p>
    <w:p w14:paraId="4C100E7D" w14:textId="77777777" w:rsidR="006145A3" w:rsidRPr="003F6245" w:rsidRDefault="006145A3" w:rsidP="003E4CEC">
      <w:pPr>
        <w:pStyle w:val="Para0"/>
      </w:pPr>
      <w:r w:rsidRPr="003F6245">
        <w:t xml:space="preserve">When this paper refers inclusively to the languages of all these first </w:t>
      </w:r>
      <w:r>
        <w:t>and original peoples, the term “</w:t>
      </w:r>
      <w:r w:rsidRPr="003F6245">
        <w:t>Indigenous</w:t>
      </w:r>
      <w:r>
        <w:t xml:space="preserve">” is again employed, in </w:t>
      </w:r>
      <w:r w:rsidRPr="003F6245">
        <w:t>line with con</w:t>
      </w:r>
      <w:r>
        <w:t>temporary international usage. “</w:t>
      </w:r>
      <w:r w:rsidRPr="003F6245">
        <w:t>Inuktut</w:t>
      </w:r>
      <w:r>
        <w:t>”</w:t>
      </w:r>
      <w:r w:rsidRPr="003F6245">
        <w:t xml:space="preserve"> is a term that can be inclusive of all Inuit languages, including Inuktitut, Inuinnaqtun and Inuvialuktun, even though Inuktut is also the dialect primarily used i</w:t>
      </w:r>
      <w:r>
        <w:t>n Nunavut. This report employs “</w:t>
      </w:r>
      <w:r w:rsidRPr="003F6245">
        <w:t>Inuktut</w:t>
      </w:r>
      <w:r>
        <w:t>”</w:t>
      </w:r>
      <w:r w:rsidRPr="003F6245">
        <w:t xml:space="preserve"> with its inclusive meaning, unless specifically fla</w:t>
      </w:r>
      <w:r>
        <w:t>gged otherwise. The Māori term “</w:t>
      </w:r>
      <w:r w:rsidRPr="003F6245">
        <w:t>te reo</w:t>
      </w:r>
      <w:r>
        <w:t>” meaning “</w:t>
      </w:r>
      <w:r w:rsidRPr="003F6245">
        <w:t>the language</w:t>
      </w:r>
      <w:r>
        <w:t>”</w:t>
      </w:r>
      <w:r w:rsidRPr="003F6245">
        <w:t xml:space="preserve"> is generally used in Aotearoa New Zealand to refer to the Māori language. This report </w:t>
      </w:r>
      <w:r>
        <w:t>employs lower case letters for “</w:t>
      </w:r>
      <w:r w:rsidRPr="003F6245">
        <w:t>te reo</w:t>
      </w:r>
      <w:r>
        <w:t>”</w:t>
      </w:r>
      <w:r w:rsidRPr="003F6245">
        <w:t xml:space="preserve"> throughout, mirroring common practice.</w:t>
      </w:r>
    </w:p>
    <w:p w14:paraId="2CBFB7C0" w14:textId="77777777" w:rsidR="0079005C" w:rsidRDefault="006145A3" w:rsidP="0060042C">
      <w:pPr>
        <w:pStyle w:val="Break"/>
      </w:pPr>
      <w:r w:rsidRPr="003F6245">
        <w:t xml:space="preserve">Throughout this paper the term </w:t>
      </w:r>
      <w:r>
        <w:t>“languages”</w:t>
      </w:r>
      <w:r w:rsidRPr="003F6245">
        <w:t xml:space="preserve"> m</w:t>
      </w:r>
      <w:r>
        <w:t>ay be used in the plural, e.g. “</w:t>
      </w:r>
      <w:r w:rsidRPr="003F6245">
        <w:t>languages education</w:t>
      </w:r>
      <w:r>
        <w:t>”, “Indigenous languages programmes”</w:t>
      </w:r>
      <w:r w:rsidRPr="003F6245">
        <w:t xml:space="preserve"> etc. This convention is a reminder of the diversity of Indigenous languages across these jurisdictions.</w:t>
      </w:r>
    </w:p>
    <w:p w14:paraId="1F08B24B" w14:textId="77777777" w:rsidR="006145A3" w:rsidRPr="003F6245" w:rsidRDefault="006145A3" w:rsidP="003E4CEC">
      <w:pPr>
        <w:pStyle w:val="Para0"/>
      </w:pPr>
    </w:p>
    <w:p w14:paraId="2BACBBC4" w14:textId="77777777" w:rsidR="006145A3" w:rsidRDefault="006145A3" w:rsidP="003E4CEC">
      <w:pPr>
        <w:pStyle w:val="Title"/>
      </w:pPr>
      <w:bookmarkStart w:id="4" w:name="_Toc95824089"/>
      <w:r w:rsidRPr="003F6245">
        <w:lastRenderedPageBreak/>
        <w:t>Notes on readership</w:t>
      </w:r>
      <w:bookmarkEnd w:id="4"/>
    </w:p>
    <w:p w14:paraId="1CAC23D9" w14:textId="77777777" w:rsidR="006145A3" w:rsidRDefault="006145A3" w:rsidP="003E4CEC">
      <w:pPr>
        <w:pStyle w:val="Para0"/>
      </w:pPr>
      <w:r w:rsidRPr="003F6245">
        <w:t xml:space="preserve">We respectfully acknowledge the languages and cultures expertise of the Indigenous peoples who read this report. This working paper is written to provide information for people working in education contexts, such as policy makers, administrators and educators, who wish to understand the role that Indigenous languages can and do play in Indigenous students’ education outcomes and learning experiences. It is written for readers who have no specialist training in Indigenous languages or languages teaching, and whose cultural and linguistic backgrounds will vary. </w:t>
      </w:r>
    </w:p>
    <w:p w14:paraId="12E806EA" w14:textId="77777777" w:rsidR="006145A3" w:rsidRDefault="006145A3" w:rsidP="003E4CEC">
      <w:pPr>
        <w:widowControl/>
        <w:spacing w:after="200" w:line="276" w:lineRule="auto"/>
        <w:jc w:val="left"/>
        <w:rPr>
          <w:color w:val="000000" w:themeColor="text1"/>
          <w:sz w:val="20"/>
        </w:rPr>
      </w:pPr>
      <w:r>
        <w:br w:type="page"/>
      </w:r>
    </w:p>
    <w:p w14:paraId="6A5DF2A2" w14:textId="77777777" w:rsidR="006145A3" w:rsidRDefault="006145A3" w:rsidP="003E4CEC">
      <w:pPr>
        <w:pStyle w:val="Title"/>
      </w:pPr>
      <w:bookmarkStart w:id="5" w:name="_Toc95824090"/>
      <w:r>
        <w:lastRenderedPageBreak/>
        <w:t>Abstract</w:t>
      </w:r>
      <w:bookmarkEnd w:id="5"/>
    </w:p>
    <w:p w14:paraId="31321076" w14:textId="4C67E557" w:rsidR="006145A3" w:rsidRDefault="006145A3" w:rsidP="003E4CEC">
      <w:pPr>
        <w:pStyle w:val="Para0"/>
      </w:pPr>
      <w:r>
        <w:t>Indigenous peoples have rightful aspirations for their languages and cultures</w:t>
      </w:r>
      <w:r w:rsidR="004D2AB4">
        <w:t xml:space="preserve">, </w:t>
      </w:r>
      <w:r>
        <w:t xml:space="preserve">supported under international conventions, jurisdictional treaties, laws, policies and enquiry recommendations. </w:t>
      </w:r>
      <w:r w:rsidR="004D2AB4">
        <w:t>Additionally</w:t>
      </w:r>
      <w:r>
        <w:t xml:space="preserve">, the inclusion of Indigenous languages </w:t>
      </w:r>
      <w:r w:rsidR="004D2AB4">
        <w:t>in education</w:t>
      </w:r>
      <w:r>
        <w:t xml:space="preserve"> can impact positively on Indigenous student</w:t>
      </w:r>
      <w:r w:rsidR="004D2AB4">
        <w:t>s’</w:t>
      </w:r>
      <w:r>
        <w:t xml:space="preserve"> learning, engagement, identity and well-being, and can increase involvement of their communities </w:t>
      </w:r>
      <w:r w:rsidR="004D2AB4">
        <w:t xml:space="preserve">in </w:t>
      </w:r>
      <w:r>
        <w:t xml:space="preserve">education. This working paper provides an overview of </w:t>
      </w:r>
      <w:r w:rsidR="004D2AB4">
        <w:t xml:space="preserve">Indigenous languages learning </w:t>
      </w:r>
      <w:r>
        <w:t xml:space="preserve">in </w:t>
      </w:r>
      <w:r w:rsidR="004D2AB4">
        <w:t>Aotearoa New Zealand, Australia and Canada. These three jurisdictions participate</w:t>
      </w:r>
      <w:r>
        <w:t xml:space="preserve"> in </w:t>
      </w:r>
      <w:r w:rsidR="004D2AB4">
        <w:t xml:space="preserve">an </w:t>
      </w:r>
      <w:r>
        <w:t>OECD initiative “Promising Practices in Supporting Success for Indigenous Students”</w:t>
      </w:r>
      <w:r w:rsidR="004D2AB4">
        <w:t>, designed to help education systems to improve the experiences and outcomes of Indigenous students in education</w:t>
      </w:r>
      <w:r>
        <w:t xml:space="preserve">. The significance of Indigenous languages constitutes “common ground” between the diverse Indigenous peoples in these </w:t>
      </w:r>
      <w:r w:rsidR="004D2AB4">
        <w:t xml:space="preserve">three </w:t>
      </w:r>
      <w:r>
        <w:t xml:space="preserve">countries. But learning in Indigenous languages must follow “diverse pathways” with local language programme designs that fit the different historical and contemporary language contexts within and between the countries. </w:t>
      </w:r>
    </w:p>
    <w:p w14:paraId="0240786E" w14:textId="77777777" w:rsidR="006145A3" w:rsidRDefault="006145A3" w:rsidP="006145A3">
      <w:pPr>
        <w:pStyle w:val="Heading1"/>
        <w:framePr w:w="11615" w:wrap="notBeside" w:x="1276"/>
        <w:numPr>
          <w:ilvl w:val="0"/>
          <w:numId w:val="22"/>
        </w:numPr>
        <w:ind w:left="1077" w:hanging="964"/>
      </w:pPr>
      <w:bookmarkStart w:id="6" w:name="_Toc95824091"/>
      <w:r w:rsidRPr="003F6245">
        <w:lastRenderedPageBreak/>
        <w:t>Introduction</w:t>
      </w:r>
      <w:bookmarkEnd w:id="6"/>
    </w:p>
    <w:p w14:paraId="7E58D8AB" w14:textId="77777777" w:rsidR="006145A3" w:rsidRPr="003F6245" w:rsidRDefault="006145A3" w:rsidP="003E4CEC">
      <w:pPr>
        <w:pStyle w:val="Para0"/>
      </w:pPr>
      <w:r w:rsidRPr="003F6245">
        <w:t xml:space="preserve">Indigenous peoples of Aotearoa New Zealand, Australia and Canada speak many Indigenous languages, but in widely diverse ways. Which languages they speak, to whom, and to what extent, are profoundly affected by the on-going impact of settler colonial societies in each country. </w:t>
      </w:r>
    </w:p>
    <w:p w14:paraId="317D079E" w14:textId="77777777" w:rsidR="006145A3" w:rsidRPr="003F6245" w:rsidRDefault="006145A3" w:rsidP="003E4CEC">
      <w:pPr>
        <w:pStyle w:val="Para0"/>
      </w:pPr>
      <w:r w:rsidRPr="003F6245">
        <w:t>Understanding the present day diversity of Indigenous language use and how various languages figure in Indigenous students' lives is key to understanding the roles Indigenous languages can play in students' learning:</w:t>
      </w:r>
    </w:p>
    <w:p w14:paraId="249A0DBE" w14:textId="77777777" w:rsidR="006145A3" w:rsidRPr="003F6245" w:rsidRDefault="006145A3" w:rsidP="003E4CEC">
      <w:pPr>
        <w:pStyle w:val="BulletedList"/>
      </w:pPr>
      <w:r w:rsidRPr="003F6245">
        <w:t>In some places Indigenous children still grow up speaking a traditional (original) Indigenous language as a mother tongue</w:t>
      </w:r>
    </w:p>
    <w:p w14:paraId="450E0797" w14:textId="77777777" w:rsidR="006145A3" w:rsidRPr="003F6245" w:rsidRDefault="006145A3" w:rsidP="003E4CEC">
      <w:pPr>
        <w:pStyle w:val="BulletedList"/>
      </w:pPr>
      <w:r w:rsidRPr="003F6245">
        <w:t>In many places the intergenerational transmission of traditional Indigenous languages has been disrupted, so Indigenous children will learn them as additional languages</w:t>
      </w:r>
    </w:p>
    <w:p w14:paraId="46461654" w14:textId="77777777" w:rsidR="006145A3" w:rsidRPr="003F6245" w:rsidRDefault="006145A3" w:rsidP="003E4CEC">
      <w:pPr>
        <w:pStyle w:val="BulletedList"/>
      </w:pPr>
      <w:r w:rsidRPr="003F6245">
        <w:t>In some places, Indigenous children speak new (contact) Indigenous languages, such as creoles and mixed languages, as a mother tongue</w:t>
      </w:r>
    </w:p>
    <w:p w14:paraId="09D372A1" w14:textId="77777777" w:rsidR="006145A3" w:rsidRPr="003F6245" w:rsidRDefault="006145A3" w:rsidP="003E4CEC">
      <w:pPr>
        <w:pStyle w:val="BulletedList"/>
      </w:pPr>
      <w:r w:rsidRPr="003F6245">
        <w:t>In many places Indigenous children speak a dominant national language as their mother tongue, in other places they are learning it as an additional language</w:t>
      </w:r>
    </w:p>
    <w:p w14:paraId="0FE1435D" w14:textId="77777777" w:rsidR="006145A3" w:rsidRPr="003F6245" w:rsidRDefault="006145A3" w:rsidP="003E4CEC">
      <w:pPr>
        <w:pStyle w:val="BulletedList"/>
      </w:pPr>
      <w:r w:rsidRPr="003F6245">
        <w:t>Some Indigenous children speak an Indigenised variety of the national language as their mother tongue which is quite different from the standard variety</w:t>
      </w:r>
    </w:p>
    <w:p w14:paraId="1177D4AE" w14:textId="77777777" w:rsidR="00A200B8" w:rsidRDefault="006145A3" w:rsidP="003E4CEC">
      <w:pPr>
        <w:pStyle w:val="BulletedList"/>
      </w:pPr>
      <w:r w:rsidRPr="003F6245">
        <w:t>In some places, the balance between these languages is shifting, so Indigenous children's language repertoires and how they use them might differ from adults</w:t>
      </w:r>
    </w:p>
    <w:p w14:paraId="4FE1F517" w14:textId="17A1FFF2" w:rsidR="006145A3" w:rsidRPr="003F6245" w:rsidRDefault="00A200B8" w:rsidP="003E4CEC">
      <w:pPr>
        <w:pStyle w:val="BulletedList"/>
      </w:pPr>
      <w:r>
        <w:t>In some places one language is dominant, while other places have a more obviously heterogenous language ecology</w:t>
      </w:r>
      <w:r w:rsidR="006145A3" w:rsidRPr="003F6245">
        <w:t>.</w:t>
      </w:r>
    </w:p>
    <w:p w14:paraId="2A8456F0" w14:textId="77777777" w:rsidR="006145A3" w:rsidRPr="003F6245" w:rsidRDefault="006145A3" w:rsidP="003E4CEC">
      <w:pPr>
        <w:pStyle w:val="Para0"/>
      </w:pPr>
      <w:r w:rsidRPr="003F6245">
        <w:t>The local language ecology – which languages are spoken in a particular place, to which degrees of proficiency and to what extent – shapes Indigenous languages programmes. It provides a way into a holistic appreciation of Indigenous students' languages repertoires, and how these can be harnessed for optimising their educational success. The fact of diverse contemporary Indigenous language ecolog</w:t>
      </w:r>
      <w:r>
        <w:t>ies underpins the “</w:t>
      </w:r>
      <w:r w:rsidRPr="003F6245">
        <w:t>Diverse Pathways</w:t>
      </w:r>
      <w:r>
        <w:t>”</w:t>
      </w:r>
      <w:r w:rsidRPr="003F6245">
        <w:t xml:space="preserve"> component of the paper's title. </w:t>
      </w:r>
    </w:p>
    <w:p w14:paraId="76C2D8EA" w14:textId="77777777" w:rsidR="006145A3" w:rsidRPr="003F6245" w:rsidRDefault="006145A3" w:rsidP="003E4CEC">
      <w:pPr>
        <w:pStyle w:val="Para0"/>
      </w:pPr>
      <w:r w:rsidRPr="003F6245">
        <w:t>Many Indigenous students, as well as their families and communities, want their Indigenous languages to have a central place in their schooling. This supports Indigenous students' identity, and Indigenous community aspirations for cultural maintenance and renewal. The right to exercise this choice is supported by international declarations and national poli</w:t>
      </w:r>
      <w:r>
        <w:t>cies. These facts underpin the “</w:t>
      </w:r>
      <w:r w:rsidRPr="003F6245">
        <w:t>Common Ground</w:t>
      </w:r>
      <w:r>
        <w:t>”</w:t>
      </w:r>
      <w:r w:rsidRPr="003F6245">
        <w:t xml:space="preserve"> component of the paper's title.</w:t>
      </w:r>
    </w:p>
    <w:p w14:paraId="2C0887F0" w14:textId="77777777" w:rsidR="006145A3" w:rsidRPr="003F6245" w:rsidRDefault="006145A3" w:rsidP="003E4CEC">
      <w:pPr>
        <w:pStyle w:val="Para0"/>
      </w:pPr>
      <w:r w:rsidRPr="003F6245">
        <w:t>Indigenous peoples have ownership over their own languages and determine the cultural content of their language programmes. They are integral in every way to their language programmes. This recognition marks a departure from historical attitudes where Indigenous peoples and their languages and cultures were marginalised in education. Indigenous languages programmes can provide a positive focus for redress and reconciliation between Indigenous and non-Indigenous peoples.</w:t>
      </w:r>
    </w:p>
    <w:p w14:paraId="5E53D0A3" w14:textId="3BBAF596" w:rsidR="006145A3" w:rsidRPr="003F6245" w:rsidRDefault="006145A3" w:rsidP="003E4CEC">
      <w:pPr>
        <w:pStyle w:val="Para0"/>
      </w:pPr>
      <w:r w:rsidRPr="003F6245">
        <w:t xml:space="preserve">Indigenous languages are strongly connected to the cultures and knowledges of their speakers and they are associated with Indigenous people's well-being and resilience, qualities education seeks to foster in youth. </w:t>
      </w:r>
      <w:r w:rsidR="00A200B8">
        <w:t xml:space="preserve">Recognition of Indigenous languages </w:t>
      </w:r>
      <w:r w:rsidRPr="003F6245">
        <w:t xml:space="preserve">can improve student academic achievement, engagement, </w:t>
      </w:r>
      <w:r w:rsidRPr="003F6245">
        <w:lastRenderedPageBreak/>
        <w:t>attendance and learning outcomes, as well as school-community relations. Indigenous languages programmes offer Indigenous people training, employment and enterprise opportunities in many areas such as language teaching, documentation</w:t>
      </w:r>
      <w:r w:rsidR="00A200B8">
        <w:t>,</w:t>
      </w:r>
      <w:r w:rsidRPr="003F6245">
        <w:t xml:space="preserve"> research</w:t>
      </w:r>
      <w:r w:rsidR="00A200B8">
        <w:t xml:space="preserve"> interpreting and translation</w:t>
      </w:r>
      <w:r w:rsidRPr="003F6245">
        <w:t>, but also art, music, park/sea ranger work, and information technology.</w:t>
      </w:r>
    </w:p>
    <w:p w14:paraId="5077DDDF" w14:textId="77777777" w:rsidR="006145A3" w:rsidRPr="003F6245" w:rsidRDefault="006145A3" w:rsidP="003E4CEC">
      <w:pPr>
        <w:pStyle w:val="Para0"/>
      </w:pPr>
      <w:r w:rsidRPr="003F6245">
        <w:t>Supporting Indigenous languages in schools also supports Indigenous students' multilingual development, which benefits them on many other levels. Multilingual people can participate in more social networks and in more efficacious ways than monolingual people. Language learning has many positive effects for learning more generally.</w:t>
      </w:r>
    </w:p>
    <w:p w14:paraId="218799FE" w14:textId="77777777" w:rsidR="006145A3" w:rsidRPr="003F6245" w:rsidRDefault="006145A3" w:rsidP="003E4CEC">
      <w:pPr>
        <w:pStyle w:val="Para0"/>
      </w:pPr>
      <w:r w:rsidRPr="003F6245">
        <w:t>How Indigenous language programmes can best meet the expectations of an Indigenous community depends on the local language ecology. Two fundamentally different Indigenous language learning contexts require different responses:</w:t>
      </w:r>
    </w:p>
    <w:p w14:paraId="6A2B60EA" w14:textId="77777777" w:rsidR="006145A3" w:rsidRPr="003F6245" w:rsidRDefault="006145A3" w:rsidP="003E4CEC">
      <w:pPr>
        <w:pStyle w:val="BulletedList"/>
      </w:pPr>
      <w:r w:rsidRPr="003F6245">
        <w:t>Mother tongue/first language programmes assume that the students already speak the language fluently</w:t>
      </w:r>
    </w:p>
    <w:p w14:paraId="1D31E154" w14:textId="77777777" w:rsidR="006145A3" w:rsidRPr="003F6245" w:rsidRDefault="006145A3" w:rsidP="003E4CEC">
      <w:pPr>
        <w:pStyle w:val="BulletedList"/>
      </w:pPr>
      <w:r w:rsidRPr="003F6245">
        <w:t>Additional/second language programmes are designed to teach the language (i.e.</w:t>
      </w:r>
      <w:r>
        <w:t> </w:t>
      </w:r>
      <w:r w:rsidRPr="003F6245">
        <w:t xml:space="preserve">learners have full proficiency in other languages). </w:t>
      </w:r>
    </w:p>
    <w:p w14:paraId="1D9E11B5" w14:textId="77777777" w:rsidR="006145A3" w:rsidRPr="003F6245" w:rsidRDefault="006145A3" w:rsidP="003E4CEC">
      <w:pPr>
        <w:pStyle w:val="Para0"/>
      </w:pPr>
      <w:r w:rsidRPr="003F6245">
        <w:t>The nature of an Indigenous school language programm</w:t>
      </w:r>
      <w:r>
        <w:t>e is greatly influenced by the “availability”</w:t>
      </w:r>
      <w:r w:rsidRPr="003F6245">
        <w:t xml:space="preserve"> of each Indigenous language in the community: </w:t>
      </w:r>
    </w:p>
    <w:p w14:paraId="541A1D73" w14:textId="77777777" w:rsidR="006145A3" w:rsidRPr="003F6245" w:rsidRDefault="006145A3" w:rsidP="003E4CEC">
      <w:pPr>
        <w:pStyle w:val="BulletedList"/>
      </w:pPr>
      <w:r w:rsidRPr="003F6245">
        <w:t>If a language is being rebuilt from archival sources and language rememberers, the extent of language rebuilding and opportunities for community re-learning are pivotal</w:t>
      </w:r>
    </w:p>
    <w:p w14:paraId="08E8B6AC" w14:textId="77777777" w:rsidR="006145A3" w:rsidRPr="003F6245" w:rsidRDefault="006145A3" w:rsidP="003E4CEC">
      <w:pPr>
        <w:pStyle w:val="BulletedList"/>
      </w:pPr>
      <w:r w:rsidRPr="003F6245">
        <w:t>If a language is still spoken, then the number of speakers is a significant factor</w:t>
      </w:r>
    </w:p>
    <w:p w14:paraId="62B49B8E" w14:textId="77777777" w:rsidR="006145A3" w:rsidRPr="003F6245" w:rsidRDefault="006145A3" w:rsidP="003E4CEC">
      <w:pPr>
        <w:pStyle w:val="BulletedList"/>
      </w:pPr>
      <w:r w:rsidRPr="003F6245">
        <w:t>If a language is spoken by the whole community as a mother tongue, then the issue is how sch</w:t>
      </w:r>
      <w:r>
        <w:t>ools work with this abundantly “available”</w:t>
      </w:r>
      <w:r w:rsidRPr="003F6245">
        <w:t xml:space="preserve"> language to promote learning</w:t>
      </w:r>
    </w:p>
    <w:p w14:paraId="45C083D5" w14:textId="15B5EF67" w:rsidR="006145A3" w:rsidRPr="003F6245" w:rsidRDefault="006145A3" w:rsidP="003E4CEC">
      <w:pPr>
        <w:pStyle w:val="BulletedList"/>
      </w:pPr>
      <w:r w:rsidRPr="003F6245">
        <w:t>All Indigenous language programmes are impacted by the r</w:t>
      </w:r>
      <w:r>
        <w:t xml:space="preserve">elative scarcity of Indigenous </w:t>
      </w:r>
      <w:r w:rsidRPr="003F6245">
        <w:t xml:space="preserve">language teachers and of training for them and for </w:t>
      </w:r>
      <w:r w:rsidR="00A200B8">
        <w:t xml:space="preserve">their </w:t>
      </w:r>
      <w:r w:rsidRPr="003F6245">
        <w:t>co-teachers</w:t>
      </w:r>
    </w:p>
    <w:p w14:paraId="058E55C7" w14:textId="77777777" w:rsidR="006145A3" w:rsidRPr="003F6245" w:rsidRDefault="006145A3" w:rsidP="003E4CEC">
      <w:pPr>
        <w:pStyle w:val="BulletedList"/>
      </w:pPr>
      <w:r w:rsidRPr="003F6245">
        <w:t>All Indigenous languages programmes are impacted by an acute shortage of teaching and learning resources (in comparison to long running, large foreign language programmes).</w:t>
      </w:r>
    </w:p>
    <w:p w14:paraId="407D6D23" w14:textId="77777777" w:rsidR="006145A3" w:rsidRPr="003F6245" w:rsidRDefault="006145A3" w:rsidP="003E4CEC">
      <w:pPr>
        <w:pStyle w:val="Para0"/>
      </w:pPr>
      <w:r w:rsidRPr="003F6245">
        <w:t xml:space="preserve">Indigenous languages programmes need adequate support to succeed: </w:t>
      </w:r>
    </w:p>
    <w:p w14:paraId="26D0BA3F" w14:textId="77777777" w:rsidR="006145A3" w:rsidRPr="003F6245" w:rsidRDefault="006145A3" w:rsidP="003E4CEC">
      <w:pPr>
        <w:pStyle w:val="BulletedList"/>
      </w:pPr>
      <w:r w:rsidRPr="003F6245">
        <w:t>Indigenous community support</w:t>
      </w:r>
    </w:p>
    <w:p w14:paraId="3085D742" w14:textId="77777777" w:rsidR="006145A3" w:rsidRPr="003F6245" w:rsidRDefault="006145A3" w:rsidP="003E4CEC">
      <w:pPr>
        <w:pStyle w:val="BulletedList"/>
      </w:pPr>
      <w:r w:rsidRPr="003F6245">
        <w:t>long-term, consistent and sufficient funding</w:t>
      </w:r>
    </w:p>
    <w:p w14:paraId="199FC6B0" w14:textId="77777777" w:rsidR="006145A3" w:rsidRPr="003F6245" w:rsidRDefault="006145A3" w:rsidP="003E4CEC">
      <w:pPr>
        <w:pStyle w:val="BulletedList"/>
      </w:pPr>
      <w:r w:rsidRPr="003F6245">
        <w:t>development of languages curriculum</w:t>
      </w:r>
    </w:p>
    <w:p w14:paraId="2195FAE6" w14:textId="77777777" w:rsidR="006145A3" w:rsidRPr="003F6245" w:rsidRDefault="006145A3" w:rsidP="003E4CEC">
      <w:pPr>
        <w:pStyle w:val="BulletedList"/>
      </w:pPr>
      <w:r w:rsidRPr="003F6245">
        <w:t>teaching and learning materials targeted to the curriculum</w:t>
      </w:r>
    </w:p>
    <w:p w14:paraId="11C6FC6F" w14:textId="77777777" w:rsidR="006145A3" w:rsidRPr="003F6245" w:rsidRDefault="006145A3" w:rsidP="003E4CEC">
      <w:pPr>
        <w:pStyle w:val="BulletedList"/>
      </w:pPr>
      <w:r w:rsidRPr="003F6245">
        <w:t>languages teacher staffing and support for training and accreditation</w:t>
      </w:r>
    </w:p>
    <w:p w14:paraId="19CEEE9E" w14:textId="77777777" w:rsidR="006145A3" w:rsidRPr="003F6245" w:rsidRDefault="006145A3" w:rsidP="003E4CEC">
      <w:pPr>
        <w:pStyle w:val="BulletedList"/>
      </w:pPr>
      <w:r w:rsidRPr="003F6245">
        <w:t>long</w:t>
      </w:r>
      <w:r>
        <w:t>-</w:t>
      </w:r>
      <w:r w:rsidRPr="003F6245">
        <w:t>term, consistent and supportive school leadership and policy environment.</w:t>
      </w:r>
    </w:p>
    <w:p w14:paraId="32A4D108" w14:textId="77777777" w:rsidR="006145A3" w:rsidRPr="003F6245" w:rsidRDefault="006145A3" w:rsidP="003E4CEC">
      <w:pPr>
        <w:pStyle w:val="Para0"/>
      </w:pPr>
      <w:r w:rsidRPr="003F6245">
        <w:t xml:space="preserve">Data on which languages Indigenous children and their families affiliate with, which they speak, and to what extent, are generally hard to obtain. These data constitute essential baseline information for developing relevant education and languages policies, ensuring Indigenous parents and students have quality information about education choices and for creating an evidence base to evaluate effects and outcomes of Indigenous languages programmes. </w:t>
      </w:r>
    </w:p>
    <w:p w14:paraId="77F3EB22" w14:textId="5DC495AA" w:rsidR="006145A3" w:rsidRPr="003F6245" w:rsidRDefault="006145A3" w:rsidP="003E4CEC">
      <w:pPr>
        <w:pStyle w:val="Para0"/>
      </w:pPr>
      <w:r w:rsidRPr="003F6245">
        <w:t>Languages data in Indigenous contexts often involve small student/speaker numbers and locally significant variables,</w:t>
      </w:r>
      <w:r w:rsidR="00A200B8">
        <w:t xml:space="preserve"> requiring Indigenous expertise and</w:t>
      </w:r>
      <w:r w:rsidRPr="003F6245">
        <w:t xml:space="preserve"> an understanding of the local language ecology. Relatively easily obtainable big data sets, such as student enrolment and attendance, or programme numbers, do not elucidate small, local situations nor describe </w:t>
      </w:r>
      <w:r w:rsidR="00A200B8">
        <w:t xml:space="preserve">local features of </w:t>
      </w:r>
      <w:r w:rsidRPr="003F6245">
        <w:t>classroom-ba</w:t>
      </w:r>
      <w:r>
        <w:t>sed languages learning. An over-</w:t>
      </w:r>
      <w:r w:rsidRPr="003F6245">
        <w:t xml:space="preserve">reliance on big and readily accessible system data </w:t>
      </w:r>
      <w:r w:rsidR="00A200B8">
        <w:t>can subordinate and obscure</w:t>
      </w:r>
      <w:r w:rsidRPr="003F6245">
        <w:t xml:space="preserve"> the important role </w:t>
      </w:r>
      <w:r w:rsidRPr="003F6245">
        <w:lastRenderedPageBreak/>
        <w:t xml:space="preserve">of </w:t>
      </w:r>
      <w:r w:rsidR="00A200B8">
        <w:t xml:space="preserve">individual, community or other small-scale local </w:t>
      </w:r>
      <w:r w:rsidRPr="003F6245">
        <w:t>languages data for Indigenous students learning or speaking specific Indigenous languages.</w:t>
      </w:r>
    </w:p>
    <w:p w14:paraId="63905F46" w14:textId="77777777" w:rsidR="006145A3" w:rsidRPr="003F6245" w:rsidRDefault="006145A3" w:rsidP="003E4CEC">
      <w:pPr>
        <w:pStyle w:val="Para0"/>
      </w:pPr>
      <w:r w:rsidRPr="003F6245">
        <w:t>This paper outlines the current context of Indigenous la</w:t>
      </w:r>
      <w:r>
        <w:t>nguage learning in Aotearoa New </w:t>
      </w:r>
      <w:r w:rsidRPr="003F6245">
        <w:t>Zealand, Australia and Canada. It draws on research and experiences of language learning, drawing wherever possible on information from Indigenous communities.</w:t>
      </w:r>
    </w:p>
    <w:p w14:paraId="34A3FE3C" w14:textId="77777777" w:rsidR="006145A3" w:rsidRPr="003F6245" w:rsidRDefault="006145A3" w:rsidP="003E4CEC">
      <w:pPr>
        <w:pStyle w:val="Para0"/>
      </w:pPr>
      <w:r w:rsidRPr="003F6245">
        <w:t>The paper is structured as follow:</w:t>
      </w:r>
    </w:p>
    <w:p w14:paraId="125D1CAA" w14:textId="7F9C72F8" w:rsidR="006145A3" w:rsidRPr="003F6245" w:rsidRDefault="006145A3" w:rsidP="003E4CEC">
      <w:pPr>
        <w:pStyle w:val="BulletedList"/>
      </w:pPr>
      <w:r w:rsidRPr="003F6245">
        <w:t>Section</w:t>
      </w:r>
      <w:r>
        <w:t> </w:t>
      </w:r>
      <w:r w:rsidR="00C62BE2">
        <w:t>2</w:t>
      </w:r>
      <w:r w:rsidRPr="003F6245">
        <w:t xml:space="preserve"> provides an overview of Indigenous languages in Aotearoa New</w:t>
      </w:r>
      <w:r>
        <w:t> </w:t>
      </w:r>
      <w:r w:rsidRPr="003F6245">
        <w:t>Zealand, Australia and Canada</w:t>
      </w:r>
    </w:p>
    <w:p w14:paraId="19216992" w14:textId="6741DF92" w:rsidR="006145A3" w:rsidRPr="003F6245" w:rsidRDefault="006145A3" w:rsidP="003E4CEC">
      <w:pPr>
        <w:pStyle w:val="BulletedList"/>
      </w:pPr>
      <w:r w:rsidRPr="003F6245">
        <w:t>Section</w:t>
      </w:r>
      <w:r>
        <w:t> </w:t>
      </w:r>
      <w:r w:rsidR="00C62BE2">
        <w:t>3</w:t>
      </w:r>
      <w:r w:rsidRPr="003F6245">
        <w:t xml:space="preserve"> outlines the benefits to Indigenous students and their families and communities from access to their languages in an educational context</w:t>
      </w:r>
    </w:p>
    <w:p w14:paraId="31DBC847" w14:textId="6A262EE1" w:rsidR="006145A3" w:rsidRPr="003F6245" w:rsidRDefault="006145A3" w:rsidP="003E4CEC">
      <w:pPr>
        <w:pStyle w:val="BulletedList"/>
      </w:pPr>
      <w:r w:rsidRPr="003F6245">
        <w:t>Section</w:t>
      </w:r>
      <w:r>
        <w:t> </w:t>
      </w:r>
      <w:r w:rsidR="00C62BE2">
        <w:t>4</w:t>
      </w:r>
      <w:r w:rsidRPr="003F6245">
        <w:t xml:space="preserve"> sets out relevant international and national regulatory and policy instruments relating to Indigenous languages</w:t>
      </w:r>
    </w:p>
    <w:p w14:paraId="0CFB25FB" w14:textId="11CA1C67" w:rsidR="006145A3" w:rsidRPr="003F6245" w:rsidRDefault="006145A3" w:rsidP="003E4CEC">
      <w:pPr>
        <w:pStyle w:val="BulletedList"/>
      </w:pPr>
      <w:r w:rsidRPr="003F6245">
        <w:t>Section</w:t>
      </w:r>
      <w:r>
        <w:t> </w:t>
      </w:r>
      <w:r w:rsidR="00C62BE2">
        <w:t>5</w:t>
      </w:r>
      <w:r w:rsidRPr="003F6245">
        <w:t xml:space="preserve"> presents the scientific evidence on how language learning occurs</w:t>
      </w:r>
    </w:p>
    <w:p w14:paraId="19ECB320" w14:textId="7D1129CF" w:rsidR="006145A3" w:rsidRPr="003F6245" w:rsidRDefault="006145A3" w:rsidP="003E4CEC">
      <w:pPr>
        <w:pStyle w:val="BulletedList"/>
      </w:pPr>
      <w:r w:rsidRPr="003F6245">
        <w:t>Section</w:t>
      </w:r>
      <w:r>
        <w:t> </w:t>
      </w:r>
      <w:r w:rsidR="00C62BE2">
        <w:t>6</w:t>
      </w:r>
      <w:r w:rsidRPr="003F6245">
        <w:t xml:space="preserve"> explains the diversity and relevance of language ecologies in relation to Indigenous communities</w:t>
      </w:r>
    </w:p>
    <w:p w14:paraId="28A09B28" w14:textId="0090ED48" w:rsidR="006145A3" w:rsidRPr="003F6245" w:rsidRDefault="006145A3" w:rsidP="003E4CEC">
      <w:pPr>
        <w:pStyle w:val="BulletedList"/>
      </w:pPr>
      <w:r w:rsidRPr="003F6245">
        <w:t>Section</w:t>
      </w:r>
      <w:r>
        <w:t> </w:t>
      </w:r>
      <w:r w:rsidR="00C62BE2">
        <w:t>7</w:t>
      </w:r>
      <w:r w:rsidRPr="003F6245">
        <w:t xml:space="preserve"> highlights promising examples of language learning across the three countries</w:t>
      </w:r>
    </w:p>
    <w:p w14:paraId="346D20C7" w14:textId="3FB40770" w:rsidR="006145A3" w:rsidRPr="003F6245" w:rsidRDefault="006145A3" w:rsidP="003E4CEC">
      <w:pPr>
        <w:pStyle w:val="BulletedList"/>
      </w:pPr>
      <w:r w:rsidRPr="003F6245">
        <w:t>Section</w:t>
      </w:r>
      <w:r>
        <w:t> </w:t>
      </w:r>
      <w:r w:rsidR="00C62BE2">
        <w:t>8</w:t>
      </w:r>
      <w:r w:rsidRPr="003F6245">
        <w:t xml:space="preserve"> summarises the key elements for strengthening Indigenous language learning within education systems.</w:t>
      </w:r>
    </w:p>
    <w:p w14:paraId="598F4490" w14:textId="77777777" w:rsidR="006145A3" w:rsidRPr="00B501C0" w:rsidRDefault="006145A3" w:rsidP="003E4CEC">
      <w:pPr>
        <w:pStyle w:val="Para0"/>
      </w:pPr>
    </w:p>
    <w:p w14:paraId="68463315" w14:textId="77777777" w:rsidR="006145A3" w:rsidRDefault="006145A3" w:rsidP="006145A3">
      <w:pPr>
        <w:pStyle w:val="Heading1"/>
        <w:framePr w:w="11757" w:wrap="notBeside" w:x="1134"/>
        <w:numPr>
          <w:ilvl w:val="0"/>
          <w:numId w:val="22"/>
        </w:numPr>
        <w:ind w:left="1077" w:hanging="964"/>
      </w:pPr>
      <w:bookmarkStart w:id="7" w:name="_Toc95824092"/>
      <w:r w:rsidRPr="003F6245">
        <w:lastRenderedPageBreak/>
        <w:t>A Snapshot of Indigenous languages in Aotearoa New</w:t>
      </w:r>
      <w:r>
        <w:t> </w:t>
      </w:r>
      <w:r w:rsidRPr="003F6245">
        <w:t>Zealand, Australia and Canada</w:t>
      </w:r>
      <w:bookmarkEnd w:id="7"/>
    </w:p>
    <w:p w14:paraId="6822A69C" w14:textId="77777777" w:rsidR="006145A3" w:rsidRPr="003F6245" w:rsidRDefault="006145A3" w:rsidP="003E4CEC">
      <w:pPr>
        <w:pStyle w:val="Para0"/>
      </w:pPr>
      <w:r w:rsidRPr="003F6245">
        <w:t>This section provides a snapshot of Indig</w:t>
      </w:r>
      <w:r>
        <w:t>enous languages in Aotearoa New </w:t>
      </w:r>
      <w:r w:rsidRPr="003F6245">
        <w:t xml:space="preserve">Zealand, Australia and Canada. It sets out information on the range of Indigenous languages in each jurisdiction, along with trends relating to the proportions of Indigenous people who speak an Indigenous language. </w:t>
      </w:r>
    </w:p>
    <w:p w14:paraId="145EA3CA" w14:textId="77777777" w:rsidR="006145A3" w:rsidRPr="003F6245" w:rsidRDefault="006145A3" w:rsidP="003E4CEC">
      <w:pPr>
        <w:pStyle w:val="Para0"/>
      </w:pPr>
      <w:r w:rsidRPr="003F6245">
        <w:t>Information on language use and proficiency is drawn from multiple sources. The primary source, however, is national census data. Australia, Canada and Aotearoa New</w:t>
      </w:r>
      <w:r>
        <w:t> </w:t>
      </w:r>
      <w:r w:rsidRPr="003F6245">
        <w:t xml:space="preserve">Zealand all conduct a Census at 5 yearly intervals. These national surveys aim for comprehensive coverage of the entire population. In each jurisdiction, the Census includes questions about languages, but these differ in terms of how many languages can be reported by a respondent and whether proficiency information or mother tongue status is collected. The Census is considered a useful tool for understanding large population trends over time. </w:t>
      </w:r>
    </w:p>
    <w:p w14:paraId="0DBE2C31" w14:textId="7D81C399" w:rsidR="006145A3" w:rsidRPr="003F6245" w:rsidRDefault="006145A3" w:rsidP="003E4CEC">
      <w:pPr>
        <w:pStyle w:val="Para0"/>
      </w:pPr>
      <w:r w:rsidRPr="003F6245">
        <w:t xml:space="preserve">All of the world's relatively small languages, which includes most Indigenous languages, are under threat </w:t>
      </w:r>
      <w:sdt>
        <w:sdtPr>
          <w:id w:val="-988856693"/>
          <w:citation/>
        </w:sdtPr>
        <w:sdtEndPr/>
        <w:sdtContent>
          <w:r>
            <w:fldChar w:fldCharType="begin"/>
          </w:r>
          <w:r>
            <w:instrText xml:space="preserve"> CITATION The18 \l 2057 </w:instrText>
          </w:r>
          <w:r>
            <w:fldChar w:fldCharType="separate"/>
          </w:r>
          <w:r w:rsidRPr="00016C0F">
            <w:rPr>
              <w:noProof/>
            </w:rPr>
            <w:t>(</w:t>
          </w:r>
          <w:bookmarkStart w:id="8" w:name="The18_1"/>
          <w:r w:rsidRPr="00016C0F">
            <w:rPr>
              <w:noProof/>
            </w:rPr>
            <w:t>The United Nations Permanent Forum on Indigenous Issues, 2018</w:t>
          </w:r>
          <w:r w:rsidRPr="00016C0F">
            <w:rPr>
              <w:noProof/>
              <w:vertAlign w:val="subscript"/>
            </w:rPr>
            <w:t>[1]</w:t>
          </w:r>
          <w:r w:rsidRPr="00016C0F">
            <w:rPr>
              <w:noProof/>
            </w:rPr>
            <w:t>)</w:t>
          </w:r>
          <w:bookmarkEnd w:id="8"/>
          <w:r>
            <w:fldChar w:fldCharType="end"/>
          </w:r>
        </w:sdtContent>
      </w:sdt>
      <w:r w:rsidRPr="003F6245">
        <w:t>. The Indig</w:t>
      </w:r>
      <w:r>
        <w:t>enous languages of Aotearoa New </w:t>
      </w:r>
      <w:r w:rsidRPr="003F6245">
        <w:t>Zealand, Australia and Canada are no different. Even those that are considered c</w:t>
      </w:r>
      <w:r>
        <w:t>omparatively “</w:t>
      </w:r>
      <w:r w:rsidRPr="003F6245">
        <w:t>strong</w:t>
      </w:r>
      <w:r>
        <w:t>”</w:t>
      </w:r>
      <w:r w:rsidRPr="003F6245">
        <w:t xml:space="preserve"> because they are being transmitted from generation to generation, and are still acquired as a mother tongue/first language, still show some elements of vulnerability</w:t>
      </w:r>
      <w:r w:rsidR="00A200B8">
        <w:t xml:space="preserve"> (</w:t>
      </w:r>
      <w:sdt>
        <w:sdtPr>
          <w:id w:val="147725489"/>
          <w:citation/>
        </w:sdtPr>
        <w:sdtEndPr/>
        <w:sdtContent>
          <w:r>
            <w:fldChar w:fldCharType="begin"/>
          </w:r>
          <w:r>
            <w:instrText xml:space="preserve"> CITATION UNE03 \l 2057 </w:instrText>
          </w:r>
          <w:r>
            <w:fldChar w:fldCharType="separate"/>
          </w:r>
          <w:r w:rsidRPr="00016C0F">
            <w:rPr>
              <w:noProof/>
            </w:rPr>
            <w:t>(</w:t>
          </w:r>
          <w:bookmarkStart w:id="9" w:name="UNE03_2"/>
          <w:r w:rsidRPr="00016C0F">
            <w:rPr>
              <w:noProof/>
            </w:rPr>
            <w:t>UNESCO, 2003</w:t>
          </w:r>
          <w:r w:rsidRPr="00016C0F">
            <w:rPr>
              <w:noProof/>
              <w:vertAlign w:val="subscript"/>
            </w:rPr>
            <w:t>[2]</w:t>
          </w:r>
          <w:r w:rsidRPr="00016C0F">
            <w:rPr>
              <w:noProof/>
            </w:rPr>
            <w:t>)</w:t>
          </w:r>
          <w:bookmarkEnd w:id="9"/>
          <w:r>
            <w:fldChar w:fldCharType="end"/>
          </w:r>
        </w:sdtContent>
      </w:sdt>
      <w:r w:rsidRPr="003F6245">
        <w:t>.</w:t>
      </w:r>
    </w:p>
    <w:p w14:paraId="53B202EE" w14:textId="77777777" w:rsidR="006145A3" w:rsidRPr="003F6245" w:rsidRDefault="006145A3" w:rsidP="003E4CEC">
      <w:pPr>
        <w:pStyle w:val="Para0"/>
      </w:pPr>
      <w:r w:rsidRPr="003F6245">
        <w:t xml:space="preserve">In addition to the Census, the three jurisdictions </w:t>
      </w:r>
      <w:r>
        <w:t>conduct one or more “</w:t>
      </w:r>
      <w:r w:rsidRPr="003F6245">
        <w:t>social surveys</w:t>
      </w:r>
      <w:r>
        <w:t>”</w:t>
      </w:r>
      <w:r w:rsidRPr="003F6245">
        <w:t xml:space="preserve"> specifically of Indigenous peoples. The particulars targeted by each of these surveys differ (e.g.</w:t>
      </w:r>
      <w:r>
        <w:t> health, well-being, housing </w:t>
      </w:r>
      <w:r w:rsidRPr="003F6245">
        <w:t>etc.), but language(s) are often included. These surveys are selective as they are only conducted on a proportion of the target population. There is generally some consideration of how to ensure representation of diversity within the Indigenous population, although these criteria are not generally linguistic.</w:t>
      </w:r>
    </w:p>
    <w:p w14:paraId="6F2747F7" w14:textId="77777777" w:rsidR="006145A3" w:rsidRPr="003F6245" w:rsidRDefault="006145A3" w:rsidP="003E4CEC">
      <w:pPr>
        <w:pStyle w:val="Para0"/>
      </w:pPr>
      <w:r w:rsidRPr="003F6245">
        <w:t>A framework for considering the strength or vulnerability of languages includes the following factors:</w:t>
      </w:r>
    </w:p>
    <w:p w14:paraId="5100B0F6" w14:textId="77777777" w:rsidR="006145A3" w:rsidRPr="003F6245" w:rsidRDefault="006145A3" w:rsidP="003E4CEC">
      <w:pPr>
        <w:pStyle w:val="BulletedList"/>
      </w:pPr>
      <w:r w:rsidRPr="003F6245">
        <w:t>Intergenerational language transmission</w:t>
      </w:r>
    </w:p>
    <w:p w14:paraId="2291AC4E" w14:textId="77777777" w:rsidR="006145A3" w:rsidRPr="003F6245" w:rsidRDefault="006145A3" w:rsidP="003E4CEC">
      <w:pPr>
        <w:pStyle w:val="BulletedList"/>
      </w:pPr>
      <w:r w:rsidRPr="003F6245">
        <w:t>Absolute number of speakers</w:t>
      </w:r>
    </w:p>
    <w:p w14:paraId="498BE522" w14:textId="77777777" w:rsidR="006145A3" w:rsidRPr="003F6245" w:rsidRDefault="006145A3" w:rsidP="003E4CEC">
      <w:pPr>
        <w:pStyle w:val="BulletedList"/>
      </w:pPr>
      <w:r w:rsidRPr="003F6245">
        <w:t>Proportion of speakers within the total population</w:t>
      </w:r>
    </w:p>
    <w:p w14:paraId="16E2170E" w14:textId="77777777" w:rsidR="006145A3" w:rsidRPr="003F6245" w:rsidRDefault="006145A3" w:rsidP="003E4CEC">
      <w:pPr>
        <w:pStyle w:val="BulletedList"/>
      </w:pPr>
      <w:r w:rsidRPr="003F6245">
        <w:t>Trends in existing language domains</w:t>
      </w:r>
    </w:p>
    <w:p w14:paraId="7A9B356C" w14:textId="77777777" w:rsidR="006145A3" w:rsidRPr="003F6245" w:rsidRDefault="006145A3" w:rsidP="003E4CEC">
      <w:pPr>
        <w:pStyle w:val="BulletedList"/>
      </w:pPr>
      <w:r w:rsidRPr="003F6245">
        <w:t>Response to new domains and media</w:t>
      </w:r>
    </w:p>
    <w:p w14:paraId="2F5D590F" w14:textId="77777777" w:rsidR="006145A3" w:rsidRPr="003F6245" w:rsidRDefault="006145A3" w:rsidP="003E4CEC">
      <w:pPr>
        <w:pStyle w:val="BulletedList"/>
      </w:pPr>
      <w:r w:rsidRPr="003F6245">
        <w:t>Materials for language education and literacy</w:t>
      </w:r>
    </w:p>
    <w:p w14:paraId="2B2E72C9" w14:textId="77777777" w:rsidR="006145A3" w:rsidRPr="003F6245" w:rsidRDefault="006145A3" w:rsidP="003E4CEC">
      <w:pPr>
        <w:pStyle w:val="BulletedList"/>
      </w:pPr>
      <w:r w:rsidRPr="003F6245">
        <w:t>Governmental and institutional language attitudes and policies including official status and use</w:t>
      </w:r>
    </w:p>
    <w:p w14:paraId="2FF656CC" w14:textId="77777777" w:rsidR="006145A3" w:rsidRPr="003F6245" w:rsidRDefault="006145A3" w:rsidP="003E4CEC">
      <w:pPr>
        <w:pStyle w:val="BulletedList"/>
      </w:pPr>
      <w:r w:rsidRPr="003F6245">
        <w:t>Community members' attitudes toward their own language</w:t>
      </w:r>
    </w:p>
    <w:p w14:paraId="186C986B" w14:textId="77777777" w:rsidR="006145A3" w:rsidRPr="003F6245" w:rsidRDefault="006145A3" w:rsidP="003E4CEC">
      <w:pPr>
        <w:pStyle w:val="BulletedList"/>
      </w:pPr>
      <w:r w:rsidRPr="003F6245">
        <w:t xml:space="preserve">Amount and quality of documentation </w:t>
      </w:r>
      <w:sdt>
        <w:sdtPr>
          <w:id w:val="285468877"/>
          <w:citation/>
        </w:sdtPr>
        <w:sdtEndPr/>
        <w:sdtContent>
          <w:r>
            <w:fldChar w:fldCharType="begin"/>
          </w:r>
          <w:r>
            <w:instrText xml:space="preserve"> CITATION UNE03 \l 2057 </w:instrText>
          </w:r>
          <w:r>
            <w:fldChar w:fldCharType="separate"/>
          </w:r>
          <w:r w:rsidRPr="001A79E3">
            <w:rPr>
              <w:noProof/>
            </w:rPr>
            <w:t>(UNESCO, 2003</w:t>
          </w:r>
          <w:r w:rsidRPr="001A79E3">
            <w:rPr>
              <w:noProof/>
              <w:vertAlign w:val="subscript"/>
            </w:rPr>
            <w:t>[2]</w:t>
          </w:r>
          <w:r w:rsidRPr="001A79E3">
            <w:rPr>
              <w:noProof/>
            </w:rPr>
            <w:t>)</w:t>
          </w:r>
          <w:r>
            <w:fldChar w:fldCharType="end"/>
          </w:r>
        </w:sdtContent>
      </w:sdt>
      <w:r w:rsidRPr="003F6245">
        <w:t>.</w:t>
      </w:r>
    </w:p>
    <w:p w14:paraId="191FFF37" w14:textId="23A808B0" w:rsidR="006145A3" w:rsidRPr="003F6245" w:rsidRDefault="006145A3" w:rsidP="003E4CEC">
      <w:pPr>
        <w:pStyle w:val="Para0"/>
      </w:pPr>
      <w:r w:rsidRPr="003F6245">
        <w:t>Of the three focus nations in this study, Aotearoa New</w:t>
      </w:r>
      <w:r>
        <w:t> </w:t>
      </w:r>
      <w:r w:rsidRPr="003F6245">
        <w:t>Zealand is the only country where the</w:t>
      </w:r>
      <w:r w:rsidR="00A200B8">
        <w:t xml:space="preserve">re is one offical </w:t>
      </w:r>
      <w:r w:rsidRPr="003F6245">
        <w:t xml:space="preserve">Indigenous </w:t>
      </w:r>
      <w:r w:rsidR="00A200B8">
        <w:t xml:space="preserve">language, te reo </w:t>
      </w:r>
      <w:r w:rsidR="00171897" w:rsidRPr="003F6245">
        <w:t>Māori</w:t>
      </w:r>
      <w:r w:rsidR="00A200B8">
        <w:t xml:space="preserve">. </w:t>
      </w:r>
      <w:r w:rsidRPr="003F6245">
        <w:t xml:space="preserve">This factor distinguishes the dynamics of its Indigenous language policies and education initiatives from those in Australia and Canada. However, in spite of official recognition and considerable support from policy and education quarters, te reo Māori remains on </w:t>
      </w:r>
      <w:r w:rsidRPr="003F6245">
        <w:lastRenderedPageBreak/>
        <w:t xml:space="preserve">UNESCO's endangered languages list, in danger of falling out of use as children stop speaking it </w:t>
      </w:r>
      <w:sdt>
        <w:sdtPr>
          <w:id w:val="-1125461428"/>
          <w:citation/>
        </w:sdtPr>
        <w:sdtEndPr/>
        <w:sdtContent>
          <w:r>
            <w:fldChar w:fldCharType="begin"/>
          </w:r>
          <w:r>
            <w:instrText xml:space="preserve"> CITATION Hut17 \l 2057 </w:instrText>
          </w:r>
          <w:r>
            <w:fldChar w:fldCharType="separate"/>
          </w:r>
          <w:r w:rsidRPr="001A79E3">
            <w:rPr>
              <w:noProof/>
            </w:rPr>
            <w:t>(</w:t>
          </w:r>
          <w:bookmarkStart w:id="10" w:name="Hut17_3"/>
          <w:r w:rsidRPr="001A79E3">
            <w:rPr>
              <w:noProof/>
            </w:rPr>
            <w:t>Hutchings, 2017</w:t>
          </w:r>
          <w:r w:rsidRPr="001A79E3">
            <w:rPr>
              <w:noProof/>
              <w:vertAlign w:val="subscript"/>
            </w:rPr>
            <w:t>[3]</w:t>
          </w:r>
          <w:r w:rsidRPr="001A79E3">
            <w:rPr>
              <w:noProof/>
            </w:rPr>
            <w:t>)</w:t>
          </w:r>
          <w:bookmarkEnd w:id="10"/>
          <w:r>
            <w:fldChar w:fldCharType="end"/>
          </w:r>
        </w:sdtContent>
      </w:sdt>
      <w:r w:rsidRPr="003F6245">
        <w:t>.</w:t>
      </w:r>
    </w:p>
    <w:p w14:paraId="7B8E9940" w14:textId="1A9009D4" w:rsidR="006145A3" w:rsidRPr="003F6245" w:rsidRDefault="006145A3" w:rsidP="003E4CEC">
      <w:pPr>
        <w:pStyle w:val="Para0"/>
      </w:pPr>
      <w:r w:rsidRPr="003F6245">
        <w:t>In contrast, both the Australian and Canadian pre-colonial Indigenous language landscapes were characterised by large numbers of distinct traditional languages. Nowadays, in both these countries, fewer languages are being transmitted inter</w:t>
      </w:r>
      <w:r>
        <w:t>-</w:t>
      </w:r>
      <w:r w:rsidRPr="003F6245">
        <w:t xml:space="preserve">generationally, </w:t>
      </w:r>
      <w:r w:rsidR="00171897">
        <w:t xml:space="preserve">as a mother tongue/first language </w:t>
      </w:r>
      <w:r w:rsidRPr="003F6245">
        <w:t xml:space="preserve">learned from birth by children. For many languages, revitalisation efforts are underway to support learning them as a second/additional language from (older) speakers or to reawaken them if they have been disrupted over a longer period. </w:t>
      </w:r>
    </w:p>
    <w:p w14:paraId="289A15E7" w14:textId="77777777" w:rsidR="006145A3" w:rsidRPr="003F6245" w:rsidRDefault="006145A3" w:rsidP="003E4CEC">
      <w:pPr>
        <w:pStyle w:val="Para0"/>
      </w:pPr>
      <w:r w:rsidRPr="003F6245">
        <w:t>In addition to traditional Indigenous languages, new Indigenous languages that have developed out of language contact may also feature in some Indigenous language ecologies. In Australia some creoles have a comparatively large speakership. The Michif language still has speakers in some communities in the Métis Nation in Canada. It is referred to sometimes as a creole, sometimes a mixed language. In the Australian context, new Indigenous languages are a dy</w:t>
      </w:r>
      <w:r>
        <w:t>namic language phenomenon (i.e. </w:t>
      </w:r>
      <w:r w:rsidRPr="003F6245">
        <w:t>still developing) although this is not well represented in official language data.</w:t>
      </w:r>
    </w:p>
    <w:p w14:paraId="3A46F6E4" w14:textId="77777777" w:rsidR="006145A3" w:rsidRPr="00231325" w:rsidRDefault="006145A3" w:rsidP="006145A3">
      <w:pPr>
        <w:pStyle w:val="Heading2"/>
        <w:numPr>
          <w:ilvl w:val="1"/>
          <w:numId w:val="22"/>
        </w:numPr>
      </w:pPr>
      <w:bookmarkStart w:id="11" w:name="_Ref39832936"/>
      <w:bookmarkStart w:id="12" w:name="_Toc82093554"/>
      <w:bookmarkStart w:id="13" w:name="_Toc95824093"/>
      <w:r>
        <w:t>Aotearoa New </w:t>
      </w:r>
      <w:r w:rsidRPr="00231325">
        <w:t>Zealand</w:t>
      </w:r>
      <w:bookmarkEnd w:id="11"/>
      <w:bookmarkEnd w:id="12"/>
      <w:bookmarkEnd w:id="13"/>
    </w:p>
    <w:p w14:paraId="4F7A569A" w14:textId="77777777" w:rsidR="006145A3" w:rsidRPr="003F6245" w:rsidRDefault="006145A3" w:rsidP="003E4CEC">
      <w:pPr>
        <w:pStyle w:val="Para0"/>
      </w:pPr>
      <w:r>
        <w:t>Aotearoa New </w:t>
      </w:r>
      <w:r w:rsidRPr="003F6245">
        <w:t>Z</w:t>
      </w:r>
      <w:r>
        <w:t>ealand is home to te reo Māori “</w:t>
      </w:r>
      <w:r w:rsidRPr="003F6245">
        <w:t>the Māori language</w:t>
      </w:r>
      <w:r>
        <w:t>”</w:t>
      </w:r>
      <w:r w:rsidRPr="003F6245">
        <w:t>, sometimes just te reo in writings. Historically, te reo Māori was spoken b</w:t>
      </w:r>
      <w:r>
        <w:t>y Māori throughout Aotearoa New </w:t>
      </w:r>
      <w:r w:rsidRPr="003F6245">
        <w:t>Zealand, although with some recognisable differences associated with different regi</w:t>
      </w:r>
      <w:r>
        <w:t>ons and/or iwi “tribes”</w:t>
      </w:r>
      <w:r w:rsidRPr="003F6245">
        <w:t xml:space="preserve"> </w:t>
      </w:r>
      <w:sdt>
        <w:sdtPr>
          <w:id w:val="-236245279"/>
          <w:citation/>
        </w:sdtPr>
        <w:sdtEndPr/>
        <w:sdtContent>
          <w:r>
            <w:fldChar w:fldCharType="begin"/>
          </w:r>
          <w:r>
            <w:instrText xml:space="preserve">CITATION Kee17 \l 2057 </w:instrText>
          </w:r>
          <w:r>
            <w:fldChar w:fldCharType="separate"/>
          </w:r>
          <w:r w:rsidRPr="001A79E3">
            <w:rPr>
              <w:noProof/>
            </w:rPr>
            <w:t>(</w:t>
          </w:r>
          <w:bookmarkStart w:id="14" w:name="Kee17_4"/>
          <w:r w:rsidRPr="001A79E3">
            <w:rPr>
              <w:noProof/>
            </w:rPr>
            <w:t>Keegan, 2017</w:t>
          </w:r>
          <w:r w:rsidRPr="001A79E3">
            <w:rPr>
              <w:noProof/>
              <w:vertAlign w:val="subscript"/>
            </w:rPr>
            <w:t>[4]</w:t>
          </w:r>
          <w:r w:rsidRPr="001A79E3">
            <w:rPr>
              <w:noProof/>
            </w:rPr>
            <w:t>)</w:t>
          </w:r>
          <w:bookmarkEnd w:id="14"/>
          <w:r>
            <w:fldChar w:fldCharType="end"/>
          </w:r>
        </w:sdtContent>
      </w:sdt>
      <w:r w:rsidRPr="003F6245">
        <w:t>.</w:t>
      </w:r>
    </w:p>
    <w:p w14:paraId="2359409E" w14:textId="77777777" w:rsidR="006145A3" w:rsidRPr="003F6245" w:rsidRDefault="006145A3" w:rsidP="003E4CEC">
      <w:pPr>
        <w:pStyle w:val="Para0"/>
      </w:pPr>
      <w:r w:rsidRPr="003F6245">
        <w:t>The New</w:t>
      </w:r>
      <w:r>
        <w:t> </w:t>
      </w:r>
      <w:r w:rsidRPr="003F6245">
        <w:t xml:space="preserve">Zealand Census provides comparative longitudinal data, from 1996 and at 5 yearly intervals subsequently, about numbers of people reporting they can have a conversation about everyday topics in Māori. The Census is addressed to the whole population. </w:t>
      </w:r>
    </w:p>
    <w:p w14:paraId="3210ABBD" w14:textId="77777777" w:rsidR="006145A3" w:rsidRPr="003F6245" w:rsidRDefault="006145A3" w:rsidP="003E4CEC">
      <w:pPr>
        <w:pStyle w:val="Para0"/>
      </w:pPr>
      <w:r w:rsidRPr="003F6245">
        <w:t>Ac</w:t>
      </w:r>
      <w:r>
        <w:t>cording to the 2013 Census, 148 </w:t>
      </w:r>
      <w:r w:rsidRPr="003F6245">
        <w:t>400 p</w:t>
      </w:r>
      <w:r>
        <w:t>eople (or 3.7% of the total New </w:t>
      </w:r>
      <w:r w:rsidRPr="003F6245">
        <w:t>Zealand population) reported that they were able to hold a conversation in Māori. People who identified as Māori comprised 84.5% of these conversationally proficient speakers of te reo Māori.</w:t>
      </w:r>
    </w:p>
    <w:p w14:paraId="4499504B" w14:textId="77777777" w:rsidR="006145A3" w:rsidRPr="003F6245" w:rsidRDefault="006145A3" w:rsidP="003E4CEC">
      <w:pPr>
        <w:pStyle w:val="Para0"/>
      </w:pPr>
      <w:r w:rsidRPr="003F6245">
        <w:t>While the situation for te reo Māori has overall been one of an ongoing if slow decline in speaker numbers, it is also a story of stemming what might otherwise have been a rapid language shift. Over the course of the last century the proportion of Māori language speakers declined sharply. As a result, by the turn of the century, only one quarter of all Māori reported that they were able to hold a conversation in Māori. This proportion is still on a slow downward trend. In the 2013 Census, 21.3% of all Māori reported that they could hold a conversation in Māori about everyday things, which is a continuation of the slow decrease of the past decade, from 23.7% in 2006 and 25.2% in 2001.</w:t>
      </w:r>
    </w:p>
    <w:p w14:paraId="48AA36E5" w14:textId="7A6B7569" w:rsidR="006145A3" w:rsidRPr="003F6245" w:rsidRDefault="006145A3" w:rsidP="003E4CEC">
      <w:pPr>
        <w:pStyle w:val="Para0"/>
      </w:pPr>
      <w:r w:rsidRPr="003F6245">
        <w:t xml:space="preserve">An ability to speak Māori at the conversational level is more likely amongst Māori people of older age groups compared with children and young adults (see </w:t>
      </w:r>
      <w:r w:rsidR="00344EAB">
        <w:t>Table 2.1</w:t>
      </w:r>
      <w:r w:rsidRPr="003F6245">
        <w:t xml:space="preserve"> below).</w:t>
      </w:r>
    </w:p>
    <w:p w14:paraId="4508CD60" w14:textId="77777777" w:rsidR="006145A3" w:rsidRPr="003F6245" w:rsidRDefault="006145A3" w:rsidP="003E4CEC">
      <w:pPr>
        <w:pStyle w:val="Para0"/>
      </w:pPr>
      <w:r w:rsidRPr="003F6245">
        <w:t>Proficient speakers of te reo Māori are not distributed</w:t>
      </w:r>
      <w:r>
        <w:t xml:space="preserve"> evenly throughout Aotearoa New </w:t>
      </w:r>
      <w:r w:rsidRPr="003F6245">
        <w:t>Zealand, but are more con</w:t>
      </w:r>
      <w:r>
        <w:t>centrated in areas of the North </w:t>
      </w:r>
      <w:r w:rsidRPr="003F6245">
        <w:t xml:space="preserve">Island. Māori living in areas with a greater concentration of other Māori people are most likely to report everyday conversation fluency in Māori. The 2013 Census found that the areas with the highest proportion of people with conversational Māori skills were on the North Island, in Gisborne (30.4 %), Bay of Plenty (28.6 %) and Northland (26.2 %) </w:t>
      </w:r>
      <w:sdt>
        <w:sdtPr>
          <w:id w:val="697740838"/>
          <w:citation/>
        </w:sdtPr>
        <w:sdtEndPr/>
        <w:sdtContent>
          <w:r>
            <w:fldChar w:fldCharType="begin"/>
          </w:r>
          <w:r>
            <w:instrText xml:space="preserve"> CITATION Min16 \l 2057 </w:instrText>
          </w:r>
          <w:r>
            <w:fldChar w:fldCharType="separate"/>
          </w:r>
          <w:r w:rsidRPr="009A07EF">
            <w:rPr>
              <w:noProof/>
            </w:rPr>
            <w:t>(</w:t>
          </w:r>
          <w:bookmarkStart w:id="15" w:name="Min16_5"/>
          <w:r w:rsidRPr="009A07EF">
            <w:rPr>
              <w:noProof/>
            </w:rPr>
            <w:t>Ministry of Social Development, 2016</w:t>
          </w:r>
          <w:r w:rsidRPr="009A07EF">
            <w:rPr>
              <w:noProof/>
              <w:vertAlign w:val="subscript"/>
            </w:rPr>
            <w:t>[5]</w:t>
          </w:r>
          <w:r w:rsidRPr="009A07EF">
            <w:rPr>
              <w:noProof/>
            </w:rPr>
            <w:t>)</w:t>
          </w:r>
          <w:bookmarkEnd w:id="15"/>
          <w:r>
            <w:fldChar w:fldCharType="end"/>
          </w:r>
        </w:sdtContent>
      </w:sdt>
      <w:r w:rsidRPr="003F6245">
        <w:t>.</w:t>
      </w:r>
    </w:p>
    <w:p w14:paraId="7DBBC213" w14:textId="7E1E02B4" w:rsidR="006145A3" w:rsidRDefault="006145A3" w:rsidP="003E4CEC">
      <w:pPr>
        <w:pStyle w:val="Caption"/>
      </w:pPr>
      <w:bookmarkStart w:id="16" w:name="_Toc95824132"/>
      <w:r>
        <w:lastRenderedPageBreak/>
        <w:t>Table </w:t>
      </w:r>
      <w:r>
        <w:rPr>
          <w:noProof/>
        </w:rPr>
        <w:fldChar w:fldCharType="begin"/>
      </w:r>
      <w:r>
        <w:rPr>
          <w:noProof/>
        </w:rPr>
        <w:instrText xml:space="preserve"> STYLEREF 1 \s </w:instrText>
      </w:r>
      <w:r>
        <w:rPr>
          <w:noProof/>
        </w:rPr>
        <w:fldChar w:fldCharType="separate"/>
      </w:r>
      <w:r w:rsidR="00CA5B8D">
        <w:rPr>
          <w:noProof/>
        </w:rPr>
        <w:t>2</w:t>
      </w:r>
      <w:r>
        <w:rPr>
          <w:noProof/>
        </w:rPr>
        <w:fldChar w:fldCharType="end"/>
      </w:r>
      <w:r>
        <w:t>.</w:t>
      </w:r>
      <w:r>
        <w:rPr>
          <w:noProof/>
        </w:rPr>
        <w:fldChar w:fldCharType="begin"/>
      </w:r>
      <w:r>
        <w:rPr>
          <w:noProof/>
        </w:rPr>
        <w:instrText xml:space="preserve"> SEQ Table \* ARABIC \s 1 </w:instrText>
      </w:r>
      <w:r>
        <w:rPr>
          <w:noProof/>
        </w:rPr>
        <w:fldChar w:fldCharType="separate"/>
      </w:r>
      <w:r w:rsidR="00CA5B8D">
        <w:rPr>
          <w:noProof/>
        </w:rPr>
        <w:t>1</w:t>
      </w:r>
      <w:r>
        <w:rPr>
          <w:noProof/>
        </w:rPr>
        <w:fldChar w:fldCharType="end"/>
      </w:r>
      <w:r>
        <w:t xml:space="preserve">. </w:t>
      </w:r>
      <w:r w:rsidRPr="00C72801">
        <w:t>Proportion of Māori speakers amongst Māori, 2001–2013</w:t>
      </w:r>
      <w:bookmarkEnd w:id="16"/>
    </w:p>
    <w:p w14:paraId="271149D1" w14:textId="77777777" w:rsidR="006145A3" w:rsidRDefault="006145A3" w:rsidP="003E4CEC">
      <w:pPr>
        <w:pStyle w:val="Para0"/>
        <w:rPr>
          <w:rFonts w:ascii="Times New Roman" w:hAnsi="Times New Roman" w:cs="Times New Roman"/>
          <w:sz w:val="18"/>
          <w:szCs w:val="18"/>
        </w:rPr>
      </w:pPr>
      <w:r w:rsidRPr="00852D94">
        <w:rPr>
          <w:rFonts w:ascii="Times New Roman" w:hAnsi="Times New Roman" w:cs="Times New Roman"/>
          <w:noProof/>
          <w:lang w:eastAsia="en-GB"/>
        </w:rPr>
        <w:drawing>
          <wp:inline distT="0" distB="0" distL="0" distR="0" wp14:anchorId="4CB25AA8" wp14:editId="714CB45F">
            <wp:extent cx="5334000" cy="2743200"/>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D499497" w14:textId="77777777" w:rsidR="006145A3" w:rsidRPr="00C72801" w:rsidRDefault="006145A3" w:rsidP="003E4CEC">
      <w:pPr>
        <w:pStyle w:val="Sourcenotes"/>
      </w:pPr>
      <w:r w:rsidRPr="00C72801">
        <w:t xml:space="preserve">Source: </w:t>
      </w:r>
      <w:sdt>
        <w:sdtPr>
          <w:id w:val="-338002535"/>
          <w:citation/>
        </w:sdtPr>
        <w:sdtEndPr/>
        <w:sdtContent>
          <w:r>
            <w:fldChar w:fldCharType="begin"/>
          </w:r>
          <w:r>
            <w:instrText xml:space="preserve"> CITATION Min16 \l 2057 </w:instrText>
          </w:r>
          <w:r>
            <w:fldChar w:fldCharType="separate"/>
          </w:r>
          <w:r w:rsidRPr="00E348A8">
            <w:rPr>
              <w:noProof/>
            </w:rPr>
            <w:t>(Ministry of Social Development, 2016</w:t>
          </w:r>
          <w:r w:rsidRPr="00E348A8">
            <w:rPr>
              <w:noProof/>
              <w:vertAlign w:val="subscript"/>
            </w:rPr>
            <w:t>[5]</w:t>
          </w:r>
          <w:r w:rsidRPr="00E348A8">
            <w:rPr>
              <w:noProof/>
            </w:rPr>
            <w:t>)</w:t>
          </w:r>
          <w:r>
            <w:fldChar w:fldCharType="end"/>
          </w:r>
        </w:sdtContent>
      </w:sdt>
      <w:r w:rsidRPr="00C72801">
        <w:t>, adapted from Figure CI2.1 - Proportion of Māori speakers in the Māori population, by age group, 2001–2013.</w:t>
      </w:r>
    </w:p>
    <w:p w14:paraId="6AD65180" w14:textId="6B3D3B60" w:rsidR="006145A3" w:rsidRPr="003F6245" w:rsidRDefault="006145A3" w:rsidP="003E4CEC">
      <w:pPr>
        <w:pStyle w:val="Para0"/>
      </w:pPr>
      <w:r w:rsidRPr="003F6245">
        <w:t xml:space="preserve">Among Māori people younger than 35, Māori </w:t>
      </w:r>
      <w:r w:rsidR="00171897">
        <w:t xml:space="preserve">women </w:t>
      </w:r>
      <w:r w:rsidRPr="003F6245">
        <w:t xml:space="preserve">are slightly more likely than Māori </w:t>
      </w:r>
      <w:r w:rsidR="00171897">
        <w:t xml:space="preserve">men </w:t>
      </w:r>
      <w:r w:rsidRPr="003F6245">
        <w:t xml:space="preserve">to report conversational fluency in Māori. Amongst Māori older than 45, however, </w:t>
      </w:r>
      <w:r w:rsidR="00171897">
        <w:t xml:space="preserve">men </w:t>
      </w:r>
      <w:r w:rsidRPr="003F6245">
        <w:t>are more likely to report to have conversation</w:t>
      </w:r>
      <w:r w:rsidR="00171897">
        <w:t>al fluency</w:t>
      </w:r>
      <w:r w:rsidRPr="003F6245">
        <w:t xml:space="preserve"> in Māori.</w:t>
      </w:r>
    </w:p>
    <w:p w14:paraId="3B0183E0" w14:textId="77777777" w:rsidR="006145A3" w:rsidRPr="00231325" w:rsidRDefault="006145A3" w:rsidP="006145A3">
      <w:pPr>
        <w:pStyle w:val="Heading2"/>
        <w:numPr>
          <w:ilvl w:val="1"/>
          <w:numId w:val="22"/>
        </w:numPr>
      </w:pPr>
      <w:bookmarkStart w:id="17" w:name="_Toc82093555"/>
      <w:bookmarkStart w:id="18" w:name="_Toc95824094"/>
      <w:r w:rsidRPr="003F6245">
        <w:t>Australia</w:t>
      </w:r>
      <w:bookmarkEnd w:id="17"/>
      <w:bookmarkEnd w:id="18"/>
    </w:p>
    <w:p w14:paraId="442D0343" w14:textId="55F2A8E0" w:rsidR="006145A3" w:rsidRPr="003F6245" w:rsidRDefault="006145A3" w:rsidP="003E4CEC">
      <w:pPr>
        <w:pStyle w:val="Para0"/>
      </w:pPr>
      <w:r w:rsidRPr="003F6245">
        <w:t xml:space="preserve">At least 250 distinct traditional Indigenous (Aboriginal and/or Torres Strait Islander) languages were originally spoken on the Australian continent and associated islands prior to colonisation. </w:t>
      </w:r>
      <w:r w:rsidR="008B257C" w:rsidRPr="003F6245">
        <w:t>Aboriginal and Torres Strait Islander</w:t>
      </w:r>
      <w:r w:rsidR="008B257C">
        <w:t xml:space="preserve"> </w:t>
      </w:r>
      <w:r w:rsidR="00171897">
        <w:t xml:space="preserve">peoples and the languages they speak have been profoundly impacted by the history of imposed settler-colonial society and associated draconian policies. </w:t>
      </w:r>
    </w:p>
    <w:p w14:paraId="0DE307D8" w14:textId="5A7AC443" w:rsidR="006145A3" w:rsidRPr="003F6245" w:rsidRDefault="006145A3" w:rsidP="003E4CEC">
      <w:pPr>
        <w:pStyle w:val="Para0"/>
      </w:pPr>
      <w:r w:rsidRPr="003F6245">
        <w:t xml:space="preserve">New Indigenous languages, the creoles and mixed languages spoken by some groups of </w:t>
      </w:r>
      <w:r w:rsidR="008B257C" w:rsidRPr="003F6245">
        <w:t>Aboriginal and Torres Strait Islander</w:t>
      </w:r>
      <w:r w:rsidR="008B257C">
        <w:t xml:space="preserve"> peoples</w:t>
      </w:r>
      <w:r w:rsidRPr="003F6245">
        <w:t>, provide an extra layer of languages</w:t>
      </w:r>
      <w:r w:rsidR="00171897">
        <w:t xml:space="preserve"> spoken almost exclusively by </w:t>
      </w:r>
      <w:r w:rsidR="008B257C" w:rsidRPr="003F6245">
        <w:t>Aboriginal and Torres Strait Islander</w:t>
      </w:r>
      <w:r w:rsidR="008B257C">
        <w:t xml:space="preserve"> peoples</w:t>
      </w:r>
      <w:r w:rsidRPr="003F6245">
        <w:t>, additional to the</w:t>
      </w:r>
      <w:r w:rsidR="008B257C">
        <w:t>ir</w:t>
      </w:r>
      <w:r w:rsidRPr="003F6245">
        <w:t xml:space="preserve"> original traditional languages. </w:t>
      </w:r>
      <w:r w:rsidR="00171897">
        <w:t xml:space="preserve">The new languages express uniquely Indigenous linguistic identities for their Aboriginal and Torres Strait Islander speakers. </w:t>
      </w:r>
    </w:p>
    <w:p w14:paraId="6A4AA183" w14:textId="0C8F6092" w:rsidR="006145A3" w:rsidRPr="003F6245" w:rsidRDefault="006145A3" w:rsidP="003E4CEC">
      <w:pPr>
        <w:pStyle w:val="Para0"/>
      </w:pPr>
      <w:r w:rsidRPr="003F6245">
        <w:t xml:space="preserve">The Australian Census provides an indication of trends over the past </w:t>
      </w:r>
      <w:r w:rsidR="00171897">
        <w:t xml:space="preserve">two </w:t>
      </w:r>
      <w:r w:rsidRPr="003F6245">
        <w:t xml:space="preserve">decades of the numbers of people reporting speakership of </w:t>
      </w:r>
      <w:r>
        <w:t>the 217 </w:t>
      </w:r>
      <w:r w:rsidR="008B257C">
        <w:t xml:space="preserve"> </w:t>
      </w:r>
      <w:r w:rsidR="008B257C" w:rsidRPr="003F6245">
        <w:t>Aboriginal and Torres Strait Islander</w:t>
      </w:r>
      <w:r w:rsidR="008B257C">
        <w:t xml:space="preserve"> </w:t>
      </w:r>
      <w:r w:rsidRPr="003F6245">
        <w:t xml:space="preserve">languages named on the list of the Australian Standard Classification of Languages </w:t>
      </w:r>
      <w:sdt>
        <w:sdtPr>
          <w:id w:val="-1517922106"/>
          <w:citation/>
        </w:sdtPr>
        <w:sdtEndPr/>
        <w:sdtContent>
          <w:r>
            <w:fldChar w:fldCharType="begin"/>
          </w:r>
          <w:r>
            <w:instrText xml:space="preserve"> CITATION Aus162 \l 2057 </w:instrText>
          </w:r>
          <w:r>
            <w:fldChar w:fldCharType="separate"/>
          </w:r>
          <w:r w:rsidRPr="00EE6EFE">
            <w:rPr>
              <w:noProof/>
            </w:rPr>
            <w:t>(</w:t>
          </w:r>
          <w:bookmarkStart w:id="19" w:name="Aus162_12"/>
          <w:r w:rsidRPr="00EE6EFE">
            <w:rPr>
              <w:noProof/>
            </w:rPr>
            <w:t>Australian Bureau of Statistics, 2016</w:t>
          </w:r>
          <w:r w:rsidRPr="00EE6EFE">
            <w:rPr>
              <w:noProof/>
              <w:vertAlign w:val="subscript"/>
            </w:rPr>
            <w:t>[12]</w:t>
          </w:r>
          <w:r w:rsidRPr="00EE6EFE">
            <w:rPr>
              <w:noProof/>
            </w:rPr>
            <w:t>)</w:t>
          </w:r>
          <w:bookmarkEnd w:id="19"/>
          <w:r>
            <w:fldChar w:fldCharType="end"/>
          </w:r>
        </w:sdtContent>
      </w:sdt>
      <w:r w:rsidRPr="003F6245">
        <w:t>.</w:t>
      </w:r>
    </w:p>
    <w:p w14:paraId="0B6E020F" w14:textId="17221A83" w:rsidR="006145A3" w:rsidRPr="003F6245" w:rsidRDefault="006145A3" w:rsidP="008B257C">
      <w:pPr>
        <w:pStyle w:val="Para0"/>
      </w:pPr>
      <w:r w:rsidRPr="003F6245">
        <w:t xml:space="preserve">Census data are only collected on four of the new </w:t>
      </w:r>
      <w:r w:rsidR="008B257C" w:rsidRPr="003F6245">
        <w:t>Aboriginal and Torres Strait Islander</w:t>
      </w:r>
      <w:r w:rsidR="008B257C">
        <w:t xml:space="preserve"> </w:t>
      </w:r>
      <w:r w:rsidRPr="003F6245">
        <w:t>languages</w:t>
      </w:r>
      <w:r w:rsidR="00171897">
        <w:t>, as these are</w:t>
      </w:r>
      <w:r w:rsidR="008B257C">
        <w:t xml:space="preserve"> the only ones to appear on the Australian Classification of Languages list: </w:t>
      </w:r>
      <w:r w:rsidR="008B257C" w:rsidRPr="003F6245">
        <w:t>Krio</w:t>
      </w:r>
      <w:r w:rsidR="008B257C">
        <w:t xml:space="preserve">l, </w:t>
      </w:r>
      <w:r w:rsidR="008B257C" w:rsidRPr="003F6245">
        <w:t>Yumplatok/Torres</w:t>
      </w:r>
      <w:r w:rsidR="008B257C" w:rsidRPr="008B257C">
        <w:t xml:space="preserve"> </w:t>
      </w:r>
      <w:r w:rsidR="008B257C" w:rsidRPr="003F6245">
        <w:t>Strait</w:t>
      </w:r>
      <w:r w:rsidR="008B257C">
        <w:t xml:space="preserve"> Creole, Light </w:t>
      </w:r>
      <w:r w:rsidR="008B257C" w:rsidRPr="003F6245">
        <w:t>Warlpiri</w:t>
      </w:r>
      <w:r w:rsidR="008B257C">
        <w:t xml:space="preserve"> and </w:t>
      </w:r>
      <w:r w:rsidR="008B257C" w:rsidRPr="003F6245">
        <w:t>Gurindji</w:t>
      </w:r>
      <w:r w:rsidR="008B257C">
        <w:t xml:space="preserve"> </w:t>
      </w:r>
      <w:r w:rsidR="008B257C" w:rsidRPr="003F6245">
        <w:t>Krio</w:t>
      </w:r>
      <w:r w:rsidR="008B257C">
        <w:t xml:space="preserve">l. </w:t>
      </w:r>
    </w:p>
    <w:p w14:paraId="1651AA15" w14:textId="50C7CB7B" w:rsidR="006145A3" w:rsidRPr="00121587" w:rsidRDefault="008B257C" w:rsidP="003E4CEC">
      <w:pPr>
        <w:pStyle w:val="Para0"/>
      </w:pPr>
      <w:r>
        <w:t xml:space="preserve">The </w:t>
      </w:r>
      <w:r w:rsidRPr="00121587">
        <w:t xml:space="preserve">Australian Standard Classification of Languages </w:t>
      </w:r>
      <w:r>
        <w:t>also lists “Aboriginal English”</w:t>
      </w:r>
      <w:r w:rsidRPr="00121587">
        <w:t xml:space="preserve">, </w:t>
      </w:r>
      <w:r>
        <w:t>a term applied to the wide range of</w:t>
      </w:r>
      <w:r w:rsidR="006145A3" w:rsidRPr="00121587">
        <w:t xml:space="preserve"> Indigenised English</w:t>
      </w:r>
      <w:r>
        <w:t xml:space="preserve">es spoken by </w:t>
      </w:r>
      <w:r w:rsidRPr="003F6245">
        <w:t>Aboriginal and Torres Strait Islander</w:t>
      </w:r>
      <w:r>
        <w:t xml:space="preserve"> </w:t>
      </w:r>
      <w:r w:rsidR="006145A3" w:rsidRPr="00121587">
        <w:t>people</w:t>
      </w:r>
      <w:r>
        <w:t>s in Australia</w:t>
      </w:r>
      <w:r w:rsidR="006145A3" w:rsidRPr="00121587">
        <w:t xml:space="preserve">. </w:t>
      </w:r>
    </w:p>
    <w:p w14:paraId="55F696AF" w14:textId="56953028" w:rsidR="006145A3" w:rsidRPr="00121587" w:rsidRDefault="006145A3" w:rsidP="003E4CEC">
      <w:pPr>
        <w:pStyle w:val="Para0"/>
      </w:pPr>
      <w:r w:rsidRPr="00121587">
        <w:t>In Australia, according to the 2016 Australian Burea</w:t>
      </w:r>
      <w:r>
        <w:t>u</w:t>
      </w:r>
      <w:r w:rsidRPr="00121587">
        <w:t xml:space="preserve"> of</w:t>
      </w:r>
      <w:r>
        <w:t xml:space="preserve"> Statistics Census figures, 649 171 </w:t>
      </w:r>
      <w:r w:rsidRPr="00121587">
        <w:t>people identify as Aboriginal and/or Torres Strait Islander</w:t>
      </w:r>
      <w:r w:rsidR="008B257C">
        <w:t xml:space="preserve">. Almost 65 </w:t>
      </w:r>
      <w:r>
        <w:t> </w:t>
      </w:r>
      <w:r w:rsidRPr="00121587">
        <w:t>000</w:t>
      </w:r>
      <w:r>
        <w:t> </w:t>
      </w:r>
      <w:r w:rsidR="008B257C">
        <w:t xml:space="preserve"> </w:t>
      </w:r>
      <w:r w:rsidR="008B257C" w:rsidRPr="003F6245">
        <w:t>Aboriginal and Torres Strait Islander</w:t>
      </w:r>
      <w:r w:rsidR="008B257C">
        <w:t xml:space="preserve"> </w:t>
      </w:r>
      <w:r w:rsidRPr="00121587">
        <w:t>peoples report themselves as speaking a</w:t>
      </w:r>
      <w:r w:rsidR="008B257C">
        <w:t>n</w:t>
      </w:r>
      <w:r w:rsidRPr="00121587">
        <w:t xml:space="preserve"> Indige</w:t>
      </w:r>
      <w:r w:rsidR="008B257C">
        <w:t xml:space="preserve">nous language at home. Around 12 </w:t>
      </w:r>
      <w:r w:rsidRPr="00121587">
        <w:t xml:space="preserve">traditional </w:t>
      </w:r>
      <w:r w:rsidR="008B257C">
        <w:t xml:space="preserve">and two contact </w:t>
      </w:r>
      <w:r w:rsidR="008B257C">
        <w:lastRenderedPageBreak/>
        <w:t xml:space="preserve">languages </w:t>
      </w:r>
      <w:r>
        <w:t>are considered “</w:t>
      </w:r>
      <w:r w:rsidRPr="00121587">
        <w:t>strong</w:t>
      </w:r>
      <w:r>
        <w:t>”</w:t>
      </w:r>
      <w:r w:rsidRPr="00121587">
        <w:t>. They are transmitted inter</w:t>
      </w:r>
      <w:r>
        <w:t>-</w:t>
      </w:r>
      <w:r w:rsidRPr="00121587">
        <w:t>generationally and learned by children from birth as their mother tongue/first language in one or mo</w:t>
      </w:r>
      <w:r>
        <w:t xml:space="preserve">re remote communities. </w:t>
      </w:r>
      <w:r w:rsidR="008B257C">
        <w:t xml:space="preserve">More than </w:t>
      </w:r>
      <w:r>
        <w:t>130</w:t>
      </w:r>
      <w:r w:rsidR="008B257C">
        <w:t xml:space="preserve"> </w:t>
      </w:r>
      <w:r>
        <w:t> </w:t>
      </w:r>
      <w:r w:rsidRPr="00121587">
        <w:t>traditiona</w:t>
      </w:r>
      <w:r>
        <w:t xml:space="preserve">l </w:t>
      </w:r>
      <w:r w:rsidR="008B257C" w:rsidRPr="003F6245">
        <w:t>Aboriginal and Torres Strait Islander</w:t>
      </w:r>
      <w:r w:rsidR="008B257C">
        <w:t xml:space="preserve"> </w:t>
      </w:r>
      <w:r>
        <w:t xml:space="preserve">languages </w:t>
      </w:r>
      <w:r w:rsidR="008B257C">
        <w:t>represent contexts ranging from revitalisation to re-awakening from archival sources (Department of Infrastructure Transport Regional Development and Communications, 2020)</w:t>
      </w:r>
      <w:r w:rsidRPr="00121587">
        <w:t xml:space="preserve">. </w:t>
      </w:r>
    </w:p>
    <w:p w14:paraId="6FFF941C" w14:textId="160D76F4" w:rsidR="006145A3" w:rsidRPr="00121587" w:rsidRDefault="008B257C" w:rsidP="003E4CEC">
      <w:pPr>
        <w:pStyle w:val="Para0"/>
      </w:pPr>
      <w:r>
        <w:t>The 2016 Census records o</w:t>
      </w:r>
      <w:r w:rsidR="006145A3">
        <w:t>ver 13 </w:t>
      </w:r>
      <w:r w:rsidR="006145A3" w:rsidRPr="00121587">
        <w:t>000</w:t>
      </w:r>
      <w:r w:rsidR="006145A3">
        <w:t> </w:t>
      </w:r>
      <w:r>
        <w:t xml:space="preserve"> </w:t>
      </w:r>
      <w:r w:rsidRPr="003F6245">
        <w:t>Aboriginal and Torres Strait Islander</w:t>
      </w:r>
      <w:r>
        <w:t xml:space="preserve"> </w:t>
      </w:r>
      <w:r w:rsidR="006145A3" w:rsidRPr="00121587">
        <w:t>people respond</w:t>
      </w:r>
      <w:r>
        <w:t>ing</w:t>
      </w:r>
      <w:r w:rsidR="006145A3" w:rsidRPr="00121587">
        <w:t xml:space="preserve"> that they speak a new Indigenous language at home</w:t>
      </w:r>
      <w:r>
        <w:t xml:space="preserve">, most commonly </w:t>
      </w:r>
      <w:r w:rsidR="006145A3" w:rsidRPr="00121587">
        <w:t>Kriol and Yumplatok</w:t>
      </w:r>
      <w:r>
        <w:t>. Nonetheless. The Census figures may undercount actual numbers, with estimates of the latter being over 20,000</w:t>
      </w:r>
      <w:r w:rsidR="006145A3" w:rsidRPr="00121587">
        <w:t xml:space="preserve"> </w:t>
      </w:r>
      <w:sdt>
        <w:sdtPr>
          <w:id w:val="-710809206"/>
          <w:citation/>
        </w:sdtPr>
        <w:sdtEndPr/>
        <w:sdtContent>
          <w:r w:rsidR="006145A3">
            <w:fldChar w:fldCharType="begin"/>
          </w:r>
          <w:r w:rsidR="006145A3">
            <w:instrText xml:space="preserve"> CITATION Mar14 \l 2057 </w:instrText>
          </w:r>
          <w:r w:rsidR="006145A3">
            <w:fldChar w:fldCharType="separate"/>
          </w:r>
          <w:r w:rsidR="006145A3" w:rsidRPr="006D652E">
            <w:rPr>
              <w:noProof/>
            </w:rPr>
            <w:t>(</w:t>
          </w:r>
          <w:bookmarkStart w:id="20" w:name="Mar14_13"/>
          <w:r w:rsidR="006145A3" w:rsidRPr="006D652E">
            <w:rPr>
              <w:noProof/>
            </w:rPr>
            <w:t>Marnmion, Obata and Troy, 2014</w:t>
          </w:r>
          <w:r w:rsidR="006145A3" w:rsidRPr="006D652E">
            <w:rPr>
              <w:noProof/>
              <w:vertAlign w:val="subscript"/>
            </w:rPr>
            <w:t>[13]</w:t>
          </w:r>
          <w:r w:rsidR="006145A3" w:rsidRPr="006D652E">
            <w:rPr>
              <w:noProof/>
            </w:rPr>
            <w:t>)</w:t>
          </w:r>
          <w:bookmarkEnd w:id="20"/>
          <w:r w:rsidR="006145A3">
            <w:fldChar w:fldCharType="end"/>
          </w:r>
        </w:sdtContent>
      </w:sdt>
      <w:r w:rsidR="006145A3">
        <w:t>. Over 600 </w:t>
      </w:r>
      <w:r w:rsidR="006145A3" w:rsidRPr="00121587">
        <w:t>Aboriginal people report sp</w:t>
      </w:r>
      <w:r w:rsidR="006145A3">
        <w:t>eaking an Indigenised English, “</w:t>
      </w:r>
      <w:r w:rsidR="006145A3" w:rsidRPr="00121587">
        <w:t>Aboriginal English</w:t>
      </w:r>
      <w:r w:rsidR="006145A3">
        <w:t>”</w:t>
      </w:r>
      <w:r w:rsidR="006145A3" w:rsidRPr="00121587">
        <w:t xml:space="preserve">. </w:t>
      </w:r>
    </w:p>
    <w:p w14:paraId="3AE1DC86" w14:textId="7519EE9A" w:rsidR="006145A3" w:rsidRPr="00121587" w:rsidRDefault="006145A3" w:rsidP="003E4CEC">
      <w:pPr>
        <w:pStyle w:val="Para0"/>
      </w:pPr>
      <w:r>
        <w:t>Well over 8 000 </w:t>
      </w:r>
      <w:r w:rsidR="008B257C">
        <w:t xml:space="preserve"> </w:t>
      </w:r>
      <w:r w:rsidR="008B257C" w:rsidRPr="003F6245">
        <w:t>Aboriginal and Torres Strait Islander</w:t>
      </w:r>
      <w:r w:rsidR="008B257C">
        <w:t xml:space="preserve"> </w:t>
      </w:r>
      <w:r w:rsidRPr="00121587">
        <w:t xml:space="preserve">people's responses could not be assigned to a specific language by Census data analysers </w:t>
      </w:r>
      <w:sdt>
        <w:sdtPr>
          <w:id w:val="479204051"/>
          <w:citation/>
        </w:sdtPr>
        <w:sdtEndPr/>
        <w:sdtContent>
          <w:r>
            <w:fldChar w:fldCharType="begin"/>
          </w:r>
          <w:r>
            <w:instrText xml:space="preserve"> CITATION Sim19 \l 2057 </w:instrText>
          </w:r>
          <w:r>
            <w:fldChar w:fldCharType="separate"/>
          </w:r>
          <w:r w:rsidRPr="006D652E">
            <w:rPr>
              <w:noProof/>
            </w:rPr>
            <w:t>(</w:t>
          </w:r>
          <w:bookmarkStart w:id="21" w:name="Sim19_14"/>
          <w:r w:rsidRPr="006D652E">
            <w:rPr>
              <w:noProof/>
            </w:rPr>
            <w:t>Simpson, 2019</w:t>
          </w:r>
          <w:r w:rsidRPr="006D652E">
            <w:rPr>
              <w:noProof/>
              <w:vertAlign w:val="subscript"/>
            </w:rPr>
            <w:t>[14]</w:t>
          </w:r>
          <w:r w:rsidRPr="006D652E">
            <w:rPr>
              <w:noProof/>
            </w:rPr>
            <w:t>)</w:t>
          </w:r>
          <w:bookmarkEnd w:id="21"/>
          <w:r>
            <w:fldChar w:fldCharType="end"/>
          </w:r>
        </w:sdtContent>
      </w:sdt>
      <w:r w:rsidRPr="00121587">
        <w:t>. This occurs when language responses do not match any of those on the Australian Standard Classification of Languages, for example because respondents use a name other than those listed (e.g.</w:t>
      </w:r>
      <w:r>
        <w:t> </w:t>
      </w:r>
      <w:r w:rsidRPr="00121587">
        <w:t>a dialect, clan or location name).</w:t>
      </w:r>
    </w:p>
    <w:p w14:paraId="05D5DF51" w14:textId="3E776966" w:rsidR="006145A3" w:rsidRDefault="006145A3" w:rsidP="003E4CEC">
      <w:pPr>
        <w:pStyle w:val="Para0"/>
      </w:pPr>
      <w:r w:rsidRPr="00121587">
        <w:t xml:space="preserve">The proportion of people who identified as Aboriginal and/or Torres Strait Islander in the Census who report speaking </w:t>
      </w:r>
      <w:r w:rsidR="008B257C">
        <w:t xml:space="preserve">an Indigenous </w:t>
      </w:r>
      <w:r w:rsidRPr="00121587">
        <w:t>l</w:t>
      </w:r>
      <w:r w:rsidR="008B257C">
        <w:t>anguage</w:t>
      </w:r>
      <w:r>
        <w:t xml:space="preserve"> at home in the last 25 </w:t>
      </w:r>
      <w:r w:rsidRPr="00121587">
        <w:t xml:space="preserve">years (1991-2016) has decreased from 16% to 10%. Over the </w:t>
      </w:r>
      <w:r w:rsidR="008B257C">
        <w:t xml:space="preserve">same period, the proportion of </w:t>
      </w:r>
      <w:r w:rsidR="008B257C" w:rsidRPr="003F6245">
        <w:t>Aboriginal and Torres Strait Islander</w:t>
      </w:r>
      <w:r w:rsidR="008B257C">
        <w:t xml:space="preserve"> </w:t>
      </w:r>
      <w:r w:rsidRPr="00121587">
        <w:t>peopl</w:t>
      </w:r>
      <w:r>
        <w:t xml:space="preserve">es </w:t>
      </w:r>
      <w:r w:rsidR="008B257C">
        <w:t>who report</w:t>
      </w:r>
      <w:r>
        <w:t xml:space="preserve"> speaking “</w:t>
      </w:r>
      <w:r w:rsidRPr="00121587">
        <w:t>English only</w:t>
      </w:r>
      <w:r>
        <w:t>”</w:t>
      </w:r>
      <w:r w:rsidRPr="00121587">
        <w:t xml:space="preserve"> has increased from 79% to 84% </w:t>
      </w:r>
      <w:sdt>
        <w:sdtPr>
          <w:id w:val="2069456009"/>
          <w:citation/>
        </w:sdtPr>
        <w:sdtEndPr/>
        <w:sdtContent>
          <w:r>
            <w:fldChar w:fldCharType="begin"/>
          </w:r>
          <w:r>
            <w:instrText xml:space="preserve"> CITATION Aus191 \l 2057 </w:instrText>
          </w:r>
          <w:r>
            <w:fldChar w:fldCharType="separate"/>
          </w:r>
          <w:r w:rsidRPr="006D652E">
            <w:rPr>
              <w:noProof/>
            </w:rPr>
            <w:t>(</w:t>
          </w:r>
          <w:bookmarkStart w:id="22" w:name="Aus191_15"/>
          <w:r w:rsidRPr="006D652E">
            <w:rPr>
              <w:noProof/>
            </w:rPr>
            <w:t>Australian Bureau of Statistics, 2019</w:t>
          </w:r>
          <w:r w:rsidRPr="006D652E">
            <w:rPr>
              <w:noProof/>
              <w:vertAlign w:val="subscript"/>
            </w:rPr>
            <w:t>[15]</w:t>
          </w:r>
          <w:r w:rsidRPr="006D652E">
            <w:rPr>
              <w:noProof/>
            </w:rPr>
            <w:t>)</w:t>
          </w:r>
          <w:bookmarkEnd w:id="22"/>
          <w:r>
            <w:fldChar w:fldCharType="end"/>
          </w:r>
        </w:sdtContent>
      </w:sdt>
      <w:r w:rsidRPr="00121587">
        <w:t xml:space="preserve">. </w:t>
      </w:r>
    </w:p>
    <w:p w14:paraId="78E4E9B5" w14:textId="5873BE28" w:rsidR="006145A3" w:rsidRDefault="006145A3" w:rsidP="003E4CEC">
      <w:pPr>
        <w:pStyle w:val="Caption"/>
      </w:pPr>
      <w:bookmarkStart w:id="23" w:name="_Toc95824127"/>
      <w:bookmarkStart w:id="24" w:name="_Toc40288442"/>
      <w:r>
        <w:t>Figure </w:t>
      </w:r>
      <w:r>
        <w:rPr>
          <w:noProof/>
        </w:rPr>
        <w:fldChar w:fldCharType="begin"/>
      </w:r>
      <w:r>
        <w:rPr>
          <w:noProof/>
        </w:rPr>
        <w:instrText xml:space="preserve"> STYLEREF 1 \s </w:instrText>
      </w:r>
      <w:r>
        <w:rPr>
          <w:noProof/>
        </w:rPr>
        <w:fldChar w:fldCharType="separate"/>
      </w:r>
      <w:r w:rsidR="00CA5B8D">
        <w:rPr>
          <w:noProof/>
        </w:rPr>
        <w:t>2</w:t>
      </w:r>
      <w:r>
        <w:rPr>
          <w:noProof/>
        </w:rPr>
        <w:fldChar w:fldCharType="end"/>
      </w:r>
      <w:r>
        <w:t>.</w:t>
      </w:r>
      <w:r>
        <w:rPr>
          <w:noProof/>
        </w:rPr>
        <w:fldChar w:fldCharType="begin"/>
      </w:r>
      <w:r>
        <w:rPr>
          <w:noProof/>
        </w:rPr>
        <w:instrText xml:space="preserve"> SEQ Figure \* ARABIC \s 1 </w:instrText>
      </w:r>
      <w:r>
        <w:rPr>
          <w:noProof/>
        </w:rPr>
        <w:fldChar w:fldCharType="separate"/>
      </w:r>
      <w:r w:rsidR="00CA5B8D">
        <w:rPr>
          <w:noProof/>
        </w:rPr>
        <w:t>1</w:t>
      </w:r>
      <w:r>
        <w:rPr>
          <w:noProof/>
        </w:rPr>
        <w:fldChar w:fldCharType="end"/>
      </w:r>
      <w:r>
        <w:t xml:space="preserve">. </w:t>
      </w:r>
      <w:r w:rsidR="008B257C" w:rsidRPr="003F6245">
        <w:t>Aboriginal and Torres Strait Islander</w:t>
      </w:r>
      <w:r w:rsidR="008B257C">
        <w:t xml:space="preserve"> </w:t>
      </w:r>
      <w:r w:rsidRPr="00955D41">
        <w:t>Language spoken at home, 1991-2016</w:t>
      </w:r>
      <w:bookmarkEnd w:id="23"/>
    </w:p>
    <w:bookmarkEnd w:id="24"/>
    <w:p w14:paraId="00E6C94E" w14:textId="77777777" w:rsidR="006145A3" w:rsidRPr="00852D94" w:rsidRDefault="006145A3" w:rsidP="003E4CEC">
      <w:pPr>
        <w:jc w:val="center"/>
        <w:rPr>
          <w:rFonts w:ascii="Times New Roman" w:hAnsi="Times New Roman" w:cs="Times New Roman"/>
        </w:rPr>
      </w:pPr>
      <w:r w:rsidRPr="00852D94">
        <w:rPr>
          <w:rFonts w:ascii="Times New Roman" w:hAnsi="Times New Roman" w:cs="Times New Roman"/>
          <w:noProof/>
          <w:lang w:eastAsia="en-GB"/>
        </w:rPr>
        <w:drawing>
          <wp:inline distT="0" distB="0" distL="0" distR="0" wp14:anchorId="26B09C72" wp14:editId="606E85AC">
            <wp:extent cx="3730625" cy="2895600"/>
            <wp:effectExtent l="12700" t="12700" r="3175" b="0"/>
            <wp:docPr id="11"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30625" cy="2895600"/>
                    </a:xfrm>
                    <a:prstGeom prst="rect">
                      <a:avLst/>
                    </a:prstGeom>
                    <a:noFill/>
                    <a:ln w="12700" cmpd="sng">
                      <a:solidFill>
                        <a:srgbClr val="4F81BD"/>
                      </a:solidFill>
                      <a:miter lim="800000"/>
                      <a:headEnd/>
                      <a:tailEnd/>
                    </a:ln>
                    <a:effectLst/>
                  </pic:spPr>
                </pic:pic>
              </a:graphicData>
            </a:graphic>
          </wp:inline>
        </w:drawing>
      </w:r>
    </w:p>
    <w:p w14:paraId="30C57540" w14:textId="77777777" w:rsidR="006145A3" w:rsidRPr="00CC2C7B" w:rsidRDefault="006145A3" w:rsidP="003E4CEC">
      <w:pPr>
        <w:pStyle w:val="Sourcenotes"/>
      </w:pPr>
      <w:r w:rsidRPr="00955D41">
        <w:t xml:space="preserve">Source: </w:t>
      </w:r>
      <w:sdt>
        <w:sdtPr>
          <w:id w:val="-614211073"/>
          <w:citation/>
        </w:sdtPr>
        <w:sdtEndPr/>
        <w:sdtContent>
          <w:r w:rsidRPr="00CC2C7B">
            <w:fldChar w:fldCharType="begin"/>
          </w:r>
          <w:r w:rsidRPr="00CC2C7B">
            <w:instrText xml:space="preserve"> CITATION Aus191 \l 2057 </w:instrText>
          </w:r>
          <w:r w:rsidRPr="00CC2C7B">
            <w:fldChar w:fldCharType="separate"/>
          </w:r>
          <w:r w:rsidRPr="00CC2C7B">
            <w:rPr>
              <w:noProof/>
            </w:rPr>
            <w:t>(Australian Bureau of Statistics, 2019</w:t>
          </w:r>
          <w:r w:rsidRPr="00CC2C7B">
            <w:rPr>
              <w:noProof/>
              <w:vertAlign w:val="subscript"/>
            </w:rPr>
            <w:t>[15]</w:t>
          </w:r>
          <w:r w:rsidRPr="00CC2C7B">
            <w:rPr>
              <w:noProof/>
            </w:rPr>
            <w:t>)</w:t>
          </w:r>
          <w:r w:rsidRPr="00CC2C7B">
            <w:fldChar w:fldCharType="end"/>
          </w:r>
        </w:sdtContent>
      </w:sdt>
      <w:r w:rsidRPr="00CC2C7B">
        <w:t xml:space="preserve">, </w:t>
      </w:r>
      <w:r w:rsidRPr="00CC2C7B">
        <w:rPr>
          <w:i/>
        </w:rPr>
        <w:t>Census of Population and Housing 1991,1996, 2001, 2006, 2011 and 2016</w:t>
      </w:r>
      <w:r w:rsidRPr="00CC2C7B">
        <w:t xml:space="preserve">, </w:t>
      </w:r>
    </w:p>
    <w:p w14:paraId="222FEFC5" w14:textId="77777777" w:rsidR="006145A3" w:rsidRPr="00955D41" w:rsidRDefault="006145A3" w:rsidP="003E4CEC">
      <w:pPr>
        <w:pStyle w:val="Sourcenotes"/>
      </w:pPr>
      <w:r w:rsidRPr="00CC2C7B">
        <w:t>© Commonwealth of Australia 2019.</w:t>
      </w:r>
    </w:p>
    <w:p w14:paraId="240E1D8A" w14:textId="578598CC" w:rsidR="006145A3" w:rsidRDefault="006145A3" w:rsidP="003E4CEC">
      <w:pPr>
        <w:pStyle w:val="Para0"/>
      </w:pPr>
      <w:r w:rsidRPr="00121587">
        <w:t xml:space="preserve">The top ten traditional Indigenous languages in the 2016 Census and the two large new Indigenous languages are shown in </w:t>
      </w:r>
      <w:r w:rsidR="00344EAB">
        <w:t xml:space="preserve">Figure 2.2 </w:t>
      </w:r>
      <w:r w:rsidRPr="00121587">
        <w:t xml:space="preserve">below as percentages of the total number of Indigenous language speakers. These Indigenous languages have speakers across all age groups according to Census data, potentially confirming they remain strong languages transmitted to young children as mother tongues. </w:t>
      </w:r>
    </w:p>
    <w:p w14:paraId="4C900578" w14:textId="092D2F88" w:rsidR="006145A3" w:rsidRDefault="006145A3" w:rsidP="003E4CEC">
      <w:pPr>
        <w:pStyle w:val="Caption"/>
      </w:pPr>
      <w:bookmarkStart w:id="25" w:name="_Toc95824128"/>
      <w:bookmarkStart w:id="26" w:name="_Ref40455337"/>
      <w:r>
        <w:lastRenderedPageBreak/>
        <w:t>Figure </w:t>
      </w:r>
      <w:r>
        <w:rPr>
          <w:noProof/>
        </w:rPr>
        <w:fldChar w:fldCharType="begin"/>
      </w:r>
      <w:r>
        <w:rPr>
          <w:noProof/>
        </w:rPr>
        <w:instrText xml:space="preserve"> STYLEREF 1 \s </w:instrText>
      </w:r>
      <w:r>
        <w:rPr>
          <w:noProof/>
        </w:rPr>
        <w:fldChar w:fldCharType="separate"/>
      </w:r>
      <w:r w:rsidR="00CA5B8D">
        <w:rPr>
          <w:noProof/>
        </w:rPr>
        <w:t>2</w:t>
      </w:r>
      <w:r>
        <w:rPr>
          <w:noProof/>
        </w:rPr>
        <w:fldChar w:fldCharType="end"/>
      </w:r>
      <w:r>
        <w:t>.</w:t>
      </w:r>
      <w:r>
        <w:rPr>
          <w:noProof/>
        </w:rPr>
        <w:fldChar w:fldCharType="begin"/>
      </w:r>
      <w:r>
        <w:rPr>
          <w:noProof/>
        </w:rPr>
        <w:instrText xml:space="preserve"> SEQ Figure \* ARABIC \s 1 </w:instrText>
      </w:r>
      <w:r>
        <w:rPr>
          <w:noProof/>
        </w:rPr>
        <w:fldChar w:fldCharType="separate"/>
      </w:r>
      <w:r w:rsidR="00CA5B8D">
        <w:rPr>
          <w:noProof/>
        </w:rPr>
        <w:t>2</w:t>
      </w:r>
      <w:r>
        <w:rPr>
          <w:noProof/>
        </w:rPr>
        <w:fldChar w:fldCharType="end"/>
      </w:r>
      <w:r>
        <w:t xml:space="preserve">. </w:t>
      </w:r>
      <w:r w:rsidRPr="00955D41">
        <w:t>Indigenous languages most spoken at home</w:t>
      </w:r>
      <w:bookmarkEnd w:id="25"/>
    </w:p>
    <w:p w14:paraId="4C2EB5FB" w14:textId="77777777" w:rsidR="006145A3" w:rsidRPr="00852D94" w:rsidRDefault="006145A3" w:rsidP="003E4CEC">
      <w:pPr>
        <w:pStyle w:val="Para0"/>
        <w:rPr>
          <w:rFonts w:ascii="Times New Roman" w:hAnsi="Times New Roman" w:cs="Times New Roman"/>
          <w:lang w:val="en-US"/>
        </w:rPr>
      </w:pPr>
      <w:bookmarkStart w:id="27" w:name="_Toc40288443"/>
      <w:bookmarkEnd w:id="26"/>
      <w:r w:rsidRPr="00852D94">
        <w:rPr>
          <w:rFonts w:ascii="Times New Roman" w:hAnsi="Times New Roman" w:cs="Times New Roman"/>
          <w:noProof/>
          <w:lang w:eastAsia="en-GB"/>
        </w:rPr>
        <w:drawing>
          <wp:inline distT="0" distB="0" distL="0" distR="0" wp14:anchorId="0B0B0389" wp14:editId="40934F66">
            <wp:extent cx="5589270" cy="2847340"/>
            <wp:effectExtent l="0" t="0" r="0" b="0"/>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bookmarkEnd w:id="27"/>
    </w:p>
    <w:p w14:paraId="37083733" w14:textId="77777777" w:rsidR="006145A3" w:rsidRPr="00955D41" w:rsidRDefault="006145A3" w:rsidP="003E4CEC">
      <w:pPr>
        <w:pStyle w:val="Sourcenotes"/>
      </w:pPr>
      <w:r w:rsidRPr="00955D41">
        <w:t xml:space="preserve">Source: </w:t>
      </w:r>
      <w:sdt>
        <w:sdtPr>
          <w:id w:val="1348903594"/>
          <w:citation/>
        </w:sdtPr>
        <w:sdtEndPr/>
        <w:sdtContent>
          <w:r>
            <w:fldChar w:fldCharType="begin"/>
          </w:r>
          <w:r>
            <w:instrText xml:space="preserve"> CITATION Aus191 \l 2057 </w:instrText>
          </w:r>
          <w:r>
            <w:fldChar w:fldCharType="separate"/>
          </w:r>
          <w:r w:rsidRPr="00AF6063">
            <w:rPr>
              <w:noProof/>
            </w:rPr>
            <w:t>(Australian Bureau of Statistics, 2019</w:t>
          </w:r>
          <w:r w:rsidRPr="00AF6063">
            <w:rPr>
              <w:noProof/>
              <w:vertAlign w:val="subscript"/>
            </w:rPr>
            <w:t>[15]</w:t>
          </w:r>
          <w:r w:rsidRPr="00AF6063">
            <w:rPr>
              <w:noProof/>
            </w:rPr>
            <w:t>)</w:t>
          </w:r>
          <w:r>
            <w:fldChar w:fldCharType="end"/>
          </w:r>
        </w:sdtContent>
      </w:sdt>
    </w:p>
    <w:p w14:paraId="513A7146" w14:textId="4C52B41C" w:rsidR="006145A3" w:rsidRPr="00121587" w:rsidRDefault="008B257C" w:rsidP="003E4CEC">
      <w:pPr>
        <w:pStyle w:val="Para0"/>
      </w:pPr>
      <w:r>
        <w:t>T</w:t>
      </w:r>
      <w:r w:rsidR="006145A3" w:rsidRPr="00121587">
        <w:t xml:space="preserve">he </w:t>
      </w:r>
      <w:r>
        <w:t xml:space="preserve">2014 </w:t>
      </w:r>
      <w:r w:rsidR="006145A3" w:rsidRPr="00121587">
        <w:t xml:space="preserve">National Indigenous Languages Survey </w:t>
      </w:r>
      <w:sdt>
        <w:sdtPr>
          <w:id w:val="-500437730"/>
          <w:citation/>
        </w:sdtPr>
        <w:sdtEndPr/>
        <w:sdtContent>
          <w:r w:rsidR="006145A3">
            <w:fldChar w:fldCharType="begin"/>
          </w:r>
          <w:r w:rsidR="006145A3">
            <w:instrText xml:space="preserve"> CITATION Mar14 \l 2057 </w:instrText>
          </w:r>
          <w:r w:rsidR="006145A3">
            <w:fldChar w:fldCharType="separate"/>
          </w:r>
          <w:r w:rsidR="006145A3" w:rsidRPr="00AF6063">
            <w:rPr>
              <w:noProof/>
            </w:rPr>
            <w:t>(Marnmion, Obata and Troy, 2014</w:t>
          </w:r>
          <w:r w:rsidR="006145A3" w:rsidRPr="00AF6063">
            <w:rPr>
              <w:noProof/>
              <w:vertAlign w:val="subscript"/>
            </w:rPr>
            <w:t>[13]</w:t>
          </w:r>
          <w:r w:rsidR="006145A3" w:rsidRPr="00AF6063">
            <w:rPr>
              <w:noProof/>
            </w:rPr>
            <w:t>)</w:t>
          </w:r>
          <w:r w:rsidR="006145A3">
            <w:fldChar w:fldCharType="end"/>
          </w:r>
        </w:sdtContent>
      </w:sdt>
      <w:r w:rsidR="006145A3" w:rsidRPr="00121587">
        <w:t xml:space="preserve">, </w:t>
      </w:r>
      <w:r>
        <w:t xml:space="preserve">collected data separately from the Census, and found that </w:t>
      </w:r>
      <w:r w:rsidR="006145A3" w:rsidRPr="00121587">
        <w:t>the most often reported Indigenous languages:</w:t>
      </w:r>
    </w:p>
    <w:p w14:paraId="4A186ACA" w14:textId="77777777" w:rsidR="006145A3" w:rsidRPr="00121587" w:rsidRDefault="006145A3" w:rsidP="003E4CEC">
      <w:pPr>
        <w:pStyle w:val="BulletedList"/>
      </w:pPr>
      <w:r w:rsidRPr="00121587">
        <w:t>have first language speakers</w:t>
      </w:r>
    </w:p>
    <w:p w14:paraId="25C5917D" w14:textId="77777777" w:rsidR="006145A3" w:rsidRPr="00121587" w:rsidRDefault="006145A3" w:rsidP="003E4CEC">
      <w:pPr>
        <w:pStyle w:val="BulletedList"/>
      </w:pPr>
      <w:r w:rsidRPr="00121587">
        <w:t>are being transmitted inter</w:t>
      </w:r>
      <w:r>
        <w:t>-</w:t>
      </w:r>
      <w:r w:rsidRPr="00121587">
        <w:t>generationally</w:t>
      </w:r>
    </w:p>
    <w:p w14:paraId="276B348A" w14:textId="1DE86415" w:rsidR="006145A3" w:rsidRPr="00121587" w:rsidRDefault="006145A3" w:rsidP="003E4CEC">
      <w:pPr>
        <w:pStyle w:val="BulletedList"/>
      </w:pPr>
      <w:r w:rsidRPr="00121587">
        <w:t xml:space="preserve">constitute a main </w:t>
      </w:r>
      <w:r w:rsidR="008B257C">
        <w:t xml:space="preserve">language of one or more remote </w:t>
      </w:r>
      <w:r w:rsidR="008B257C" w:rsidRPr="003F6245">
        <w:t>Aboriginal and Torres Strait Islander</w:t>
      </w:r>
      <w:r w:rsidR="008B257C">
        <w:t xml:space="preserve"> </w:t>
      </w:r>
      <w:r w:rsidRPr="00121587">
        <w:t xml:space="preserve">communities. </w:t>
      </w:r>
    </w:p>
    <w:p w14:paraId="56CB5A96" w14:textId="77777777" w:rsidR="006145A3" w:rsidRPr="00955D41" w:rsidRDefault="006145A3" w:rsidP="003E4CEC">
      <w:pPr>
        <w:pStyle w:val="Para0"/>
      </w:pPr>
      <w:r w:rsidRPr="00955D41">
        <w:t>These shared sociolinguistic characteristics sugge</w:t>
      </w:r>
      <w:r>
        <w:t>st</w:t>
      </w:r>
      <w:r w:rsidRPr="00955D41">
        <w:t xml:space="preserve"> that most Indigenous people interpret the Census question as involving mother tongue proficiency, rather than speaking it as a second language learner, such as somebody who is reintroducing a reawakening language back into family interactions. </w:t>
      </w:r>
    </w:p>
    <w:p w14:paraId="525F1F22" w14:textId="77777777" w:rsidR="006145A3" w:rsidRPr="00955D41" w:rsidRDefault="006145A3" w:rsidP="003E4CEC">
      <w:pPr>
        <w:pStyle w:val="Para0"/>
      </w:pPr>
      <w:r w:rsidRPr="00955D41">
        <w:t xml:space="preserve">The speakers of the most reported traditional Indigenous languages in the 2016 Census are concentrated in very remote locations in the far north or inland. Urbanisation has not been conducive to the maintenance of the local Indigenous language(s) </w:t>
      </w:r>
      <w:sdt>
        <w:sdtPr>
          <w:id w:val="2042544274"/>
          <w:citation/>
        </w:sdtPr>
        <w:sdtEndPr/>
        <w:sdtContent>
          <w:r>
            <w:fldChar w:fldCharType="begin"/>
          </w:r>
          <w:r>
            <w:instrText xml:space="preserve"> CITATION Sch90 \l 2057 </w:instrText>
          </w:r>
          <w:r>
            <w:fldChar w:fldCharType="separate"/>
          </w:r>
          <w:r w:rsidRPr="00AF6063">
            <w:rPr>
              <w:noProof/>
            </w:rPr>
            <w:t>(</w:t>
          </w:r>
          <w:bookmarkStart w:id="28" w:name="Sch90_16"/>
          <w:r w:rsidRPr="00AF6063">
            <w:rPr>
              <w:noProof/>
            </w:rPr>
            <w:t>Schmidt, 1990</w:t>
          </w:r>
          <w:r w:rsidRPr="00AF6063">
            <w:rPr>
              <w:noProof/>
              <w:vertAlign w:val="subscript"/>
            </w:rPr>
            <w:t>[16]</w:t>
          </w:r>
          <w:r w:rsidRPr="00AF6063">
            <w:rPr>
              <w:noProof/>
            </w:rPr>
            <w:t>)</w:t>
          </w:r>
          <w:bookmarkEnd w:id="28"/>
          <w:r>
            <w:fldChar w:fldCharType="end"/>
          </w:r>
        </w:sdtContent>
      </w:sdt>
      <w:r w:rsidRPr="00955D41">
        <w:t>.</w:t>
      </w:r>
    </w:p>
    <w:p w14:paraId="263A31BF" w14:textId="77777777" w:rsidR="006145A3" w:rsidRPr="00231325" w:rsidRDefault="006145A3" w:rsidP="006145A3">
      <w:pPr>
        <w:pStyle w:val="Heading2"/>
        <w:numPr>
          <w:ilvl w:val="1"/>
          <w:numId w:val="22"/>
        </w:numPr>
      </w:pPr>
      <w:bookmarkStart w:id="29" w:name="_Ref38612209"/>
      <w:bookmarkStart w:id="30" w:name="_Toc82093556"/>
      <w:bookmarkStart w:id="31" w:name="_Toc95824095"/>
      <w:r w:rsidRPr="00121587">
        <w:t>Canada</w:t>
      </w:r>
      <w:bookmarkEnd w:id="29"/>
      <w:bookmarkEnd w:id="30"/>
      <w:bookmarkEnd w:id="31"/>
    </w:p>
    <w:p w14:paraId="2193306C" w14:textId="1D89AB83" w:rsidR="006145A3" w:rsidRPr="00121587" w:rsidRDefault="006145A3" w:rsidP="003E4CEC">
      <w:pPr>
        <w:pStyle w:val="Para0"/>
      </w:pPr>
      <w:r w:rsidRPr="00121587">
        <w:t xml:space="preserve">Indigenous languages in Canada have been </w:t>
      </w:r>
      <w:r w:rsidR="008B257C">
        <w:t xml:space="preserve">severly impacted </w:t>
      </w:r>
      <w:r w:rsidRPr="00121587">
        <w:t>by past colonial practices, with speakership affected profoundly in some cases. The residential school system, the last of which closed in the 1990s, impacted on generations of children whose use of their mother tongue was prevented</w:t>
      </w:r>
      <w:r w:rsidR="00092C37">
        <w:t xml:space="preserve"> </w:t>
      </w:r>
      <w:sdt>
        <w:sdtPr>
          <w:id w:val="1866941501"/>
          <w:citation/>
        </w:sdtPr>
        <w:sdtEndPr/>
        <w:sdtContent>
          <w:r w:rsidR="00092C37">
            <w:fldChar w:fldCharType="begin"/>
          </w:r>
          <w:r w:rsidR="00092C37">
            <w:instrText xml:space="preserve">CITATION Can15 \l 2057 </w:instrText>
          </w:r>
          <w:r w:rsidR="00092C37">
            <w:fldChar w:fldCharType="separate"/>
          </w:r>
          <w:r w:rsidR="00092C37" w:rsidRPr="00092C37">
            <w:rPr>
              <w:noProof/>
            </w:rPr>
            <w:t>(</w:t>
          </w:r>
          <w:bookmarkStart w:id="32" w:name="Can15_17"/>
          <w:r w:rsidR="00092C37" w:rsidRPr="00092C37">
            <w:rPr>
              <w:noProof/>
            </w:rPr>
            <w:t>Truth and Reconciliation Commission of Canada, 2015</w:t>
          </w:r>
          <w:r w:rsidR="00092C37" w:rsidRPr="00092C37">
            <w:rPr>
              <w:noProof/>
              <w:vertAlign w:val="subscript"/>
            </w:rPr>
            <w:t>[17]</w:t>
          </w:r>
          <w:r w:rsidR="00092C37" w:rsidRPr="00092C37">
            <w:rPr>
              <w:noProof/>
            </w:rPr>
            <w:t>)</w:t>
          </w:r>
          <w:bookmarkEnd w:id="32"/>
          <w:r w:rsidR="00092C37">
            <w:fldChar w:fldCharType="end"/>
          </w:r>
        </w:sdtContent>
      </w:sdt>
      <w:r w:rsidRPr="00121587">
        <w:t>. Some languages continue to be acquired as a mother tongue/first language, but many are threatened due to small numbers and an aging population of speakers.</w:t>
      </w:r>
    </w:p>
    <w:p w14:paraId="26B57661" w14:textId="04A3E80B" w:rsidR="006145A3" w:rsidRPr="00121587" w:rsidRDefault="006145A3" w:rsidP="003E4CEC">
      <w:pPr>
        <w:pStyle w:val="Para0"/>
      </w:pPr>
      <w:r w:rsidRPr="00121587">
        <w:t>According to the 201</w:t>
      </w:r>
      <w:r>
        <w:t>6 Census of Population, over 70 </w:t>
      </w:r>
      <w:r w:rsidRPr="00121587">
        <w:t xml:space="preserve">Indigenous languages are spoken throughout Canada </w:t>
      </w:r>
      <w:sdt>
        <w:sdtPr>
          <w:id w:val="1984883430"/>
          <w:citation/>
        </w:sdtPr>
        <w:sdtEndPr/>
        <w:sdtContent>
          <w:r>
            <w:fldChar w:fldCharType="begin"/>
          </w:r>
          <w:r w:rsidR="00092C37">
            <w:instrText xml:space="preserve">CITATION Sta16 \l 2057 </w:instrText>
          </w:r>
          <w:r>
            <w:fldChar w:fldCharType="separate"/>
          </w:r>
          <w:r w:rsidR="00092C37" w:rsidRPr="00092C37">
            <w:rPr>
              <w:noProof/>
            </w:rPr>
            <w:t>(Statistics Canada, 2016</w:t>
          </w:r>
          <w:r w:rsidR="00092C37" w:rsidRPr="00092C37">
            <w:rPr>
              <w:noProof/>
              <w:vertAlign w:val="subscript"/>
            </w:rPr>
            <w:t>[18]</w:t>
          </w:r>
          <w:r w:rsidR="00092C37" w:rsidRPr="00092C37">
            <w:rPr>
              <w:noProof/>
            </w:rPr>
            <w:t>)</w:t>
          </w:r>
          <w:r>
            <w:fldChar w:fldCharType="end"/>
          </w:r>
        </w:sdtContent>
      </w:sdt>
      <w:r w:rsidRPr="00121587">
        <w:t xml:space="preserve">. These are termed collectively in Census reports as Aboriginal languages. </w:t>
      </w:r>
    </w:p>
    <w:p w14:paraId="1A8B243C" w14:textId="65F093CE" w:rsidR="006145A3" w:rsidRPr="00121587" w:rsidRDefault="006145A3" w:rsidP="003E4CEC">
      <w:pPr>
        <w:pStyle w:val="Para0"/>
      </w:pPr>
      <w:r w:rsidRPr="00121587">
        <w:t xml:space="preserve">The numbers of reported Aboriginal languages are not directly comparable across previous </w:t>
      </w:r>
      <w:r w:rsidR="008B257C">
        <w:t xml:space="preserve">iterations of the </w:t>
      </w:r>
      <w:r w:rsidRPr="00121587">
        <w:t xml:space="preserve">Census, because of different reporting criteria. The higher number of languages in 2016 than previous </w:t>
      </w:r>
      <w:r w:rsidRPr="00121587">
        <w:lastRenderedPageBreak/>
        <w:t>years has been influenced by a lo</w:t>
      </w:r>
      <w:r>
        <w:t>wered reporting threshold of 45 </w:t>
      </w:r>
      <w:r w:rsidRPr="00121587">
        <w:t xml:space="preserve">speakers and the prompting of respondents for more specific </w:t>
      </w:r>
      <w:r>
        <w:t>language designations (e.g. </w:t>
      </w:r>
      <w:r w:rsidRPr="00121587">
        <w:t xml:space="preserve">Cree languages include: Plains Cree, Woods Cree, Swampy Cree, Northern East Cree, Moose Cree and Southern East Cree as well as </w:t>
      </w:r>
      <w:r>
        <w:t>“</w:t>
      </w:r>
      <w:r w:rsidRPr="00121587">
        <w:t>Cree not otherwise specified</w:t>
      </w:r>
      <w:r>
        <w:t>”. A response of “</w:t>
      </w:r>
      <w:r w:rsidRPr="00121587">
        <w:t>Cree</w:t>
      </w:r>
      <w:r>
        <w:t>” might receive a prompt of “Woods Cree” </w:t>
      </w:r>
      <w:r w:rsidRPr="00121587">
        <w:t>etc.).</w:t>
      </w:r>
    </w:p>
    <w:p w14:paraId="66F9BFBA" w14:textId="61240C9E" w:rsidR="006145A3" w:rsidRPr="00121587" w:rsidRDefault="006145A3" w:rsidP="003E4CEC">
      <w:pPr>
        <w:pStyle w:val="Para0"/>
      </w:pPr>
      <w:r w:rsidRPr="00121587">
        <w:t>In Canada, Aboriginal lang</w:t>
      </w:r>
      <w:r>
        <w:t>uage data are often grouped by “language family”</w:t>
      </w:r>
      <w:r w:rsidRPr="00121587">
        <w:t xml:space="preserve">, which refers to the historical linguistic relationships and do not imply mutual comprehensibility. For example, German and English are in the same branch of a large language family, Indo-European, but despite being so closely related they are not mutually comprehensible. Algonquian languages, Inuit languages, Athabaskan languages, Siouan languages, Salish languages, Tsimshian languages, Wakashan languages, </w:t>
      </w:r>
      <w:r w:rsidR="008B257C">
        <w:t xml:space="preserve">and </w:t>
      </w:r>
      <w:r w:rsidRPr="00121587">
        <w:t>Iroquoian languages</w:t>
      </w:r>
      <w:r w:rsidR="008B257C">
        <w:t xml:space="preserve"> are reported</w:t>
      </w:r>
      <w:r w:rsidR="004B640C">
        <w:t xml:space="preserve"> as a group</w:t>
      </w:r>
      <w:r w:rsidRPr="00121587">
        <w:t xml:space="preserve">, </w:t>
      </w:r>
      <w:r w:rsidR="004B640C">
        <w:t xml:space="preserve">while </w:t>
      </w:r>
      <w:r w:rsidRPr="00121587">
        <w:t xml:space="preserve">Michif, Tlingit, Kutenai and Haida are reported individually. </w:t>
      </w:r>
    </w:p>
    <w:p w14:paraId="163D29AD" w14:textId="77777777" w:rsidR="006145A3" w:rsidRPr="00121587" w:rsidRDefault="006145A3" w:rsidP="003E4CEC">
      <w:pPr>
        <w:pStyle w:val="Para0"/>
      </w:pPr>
      <w:r w:rsidRPr="00121587">
        <w:t>In the 2016 Census of Population, 260</w:t>
      </w:r>
      <w:r>
        <w:t> </w:t>
      </w:r>
      <w:r w:rsidRPr="00121587">
        <w:t xml:space="preserve">550 or 15.6% of the total Indigenous population reported being able to speak an Indigenous language well enough to conduct a conversation. The proportion of speakers reporting conversational proficiency level in an Aboriginal language has decreased compared to a decade ago when the figure was 21.4%. </w:t>
      </w:r>
    </w:p>
    <w:p w14:paraId="437482ED" w14:textId="03914888" w:rsidR="006145A3" w:rsidRDefault="006145A3" w:rsidP="003E4CEC">
      <w:pPr>
        <w:pStyle w:val="Para0"/>
      </w:pPr>
      <w:r>
        <w:fldChar w:fldCharType="begin"/>
      </w:r>
      <w:r>
        <w:instrText xml:space="preserve"> REF _Ref83031080 \h </w:instrText>
      </w:r>
      <w:r>
        <w:fldChar w:fldCharType="separate"/>
      </w:r>
      <w:r w:rsidR="00CA5B8D">
        <w:t>Table </w:t>
      </w:r>
      <w:r w:rsidR="00CA5B8D">
        <w:rPr>
          <w:noProof/>
        </w:rPr>
        <w:t>2</w:t>
      </w:r>
      <w:r w:rsidR="00CA5B8D">
        <w:t>.</w:t>
      </w:r>
      <w:r w:rsidR="00CA5B8D">
        <w:rPr>
          <w:noProof/>
        </w:rPr>
        <w:t>2</w:t>
      </w:r>
      <w:r>
        <w:fldChar w:fldCharType="end"/>
      </w:r>
      <w:r w:rsidRPr="00121587">
        <w:t xml:space="preserve">, below, displays Indigenous language speaker numbers and their regional concentrations from the 2016 Census. The reported Indigenous languages all have traditional, pre-contact roots, apart from Michif which is a newer, post-colonial contact language developed amongst the Métis peoples. </w:t>
      </w:r>
    </w:p>
    <w:p w14:paraId="67CF96F6" w14:textId="2CBE5B52" w:rsidR="006145A3" w:rsidRDefault="006145A3" w:rsidP="003E4CEC">
      <w:pPr>
        <w:pStyle w:val="Caption"/>
      </w:pPr>
      <w:bookmarkStart w:id="33" w:name="_Ref83031080"/>
      <w:bookmarkStart w:id="34" w:name="_Toc95824133"/>
      <w:bookmarkStart w:id="35" w:name="_Ref31997717"/>
      <w:bookmarkStart w:id="36" w:name="_Ref38603936"/>
      <w:r>
        <w:t>Table </w:t>
      </w:r>
      <w:r>
        <w:rPr>
          <w:noProof/>
        </w:rPr>
        <w:fldChar w:fldCharType="begin"/>
      </w:r>
      <w:r>
        <w:rPr>
          <w:noProof/>
        </w:rPr>
        <w:instrText xml:space="preserve"> STYLEREF 1 \s </w:instrText>
      </w:r>
      <w:r>
        <w:rPr>
          <w:noProof/>
        </w:rPr>
        <w:fldChar w:fldCharType="separate"/>
      </w:r>
      <w:r w:rsidR="00CA5B8D">
        <w:rPr>
          <w:noProof/>
        </w:rPr>
        <w:t>2</w:t>
      </w:r>
      <w:r>
        <w:rPr>
          <w:noProof/>
        </w:rPr>
        <w:fldChar w:fldCharType="end"/>
      </w:r>
      <w:r>
        <w:t>.</w:t>
      </w:r>
      <w:r>
        <w:rPr>
          <w:noProof/>
        </w:rPr>
        <w:fldChar w:fldCharType="begin"/>
      </w:r>
      <w:r>
        <w:rPr>
          <w:noProof/>
        </w:rPr>
        <w:instrText xml:space="preserve"> SEQ Table \* ARABIC \s 1 </w:instrText>
      </w:r>
      <w:r>
        <w:rPr>
          <w:noProof/>
        </w:rPr>
        <w:fldChar w:fldCharType="separate"/>
      </w:r>
      <w:r w:rsidR="00CA5B8D">
        <w:rPr>
          <w:noProof/>
        </w:rPr>
        <w:t>2</w:t>
      </w:r>
      <w:r>
        <w:rPr>
          <w:noProof/>
        </w:rPr>
        <w:fldChar w:fldCharType="end"/>
      </w:r>
      <w:bookmarkEnd w:id="33"/>
      <w:r>
        <w:t xml:space="preserve">. </w:t>
      </w:r>
      <w:r w:rsidRPr="00E63160">
        <w:t>Indigenous languages speaker numbers and concentrations</w:t>
      </w:r>
      <w:r>
        <w:t xml:space="preserve"> in </w:t>
      </w:r>
      <w:r w:rsidRPr="00E63160">
        <w:t>2016</w:t>
      </w:r>
      <w:bookmarkEnd w:id="34"/>
    </w:p>
    <w:tbl>
      <w:tblPr>
        <w:tblStyle w:val="OECD"/>
        <w:tblW w:w="5000" w:type="pct"/>
        <w:tblLook w:val="04A0" w:firstRow="1" w:lastRow="0" w:firstColumn="1" w:lastColumn="0" w:noHBand="0" w:noVBand="1"/>
      </w:tblPr>
      <w:tblGrid>
        <w:gridCol w:w="3280"/>
        <w:gridCol w:w="1566"/>
        <w:gridCol w:w="4452"/>
      </w:tblGrid>
      <w:tr w:rsidR="006145A3" w14:paraId="06C5F9D8" w14:textId="77777777" w:rsidTr="003E4CEC">
        <w:trPr>
          <w:cnfStyle w:val="100000000000" w:firstRow="1" w:lastRow="0" w:firstColumn="0" w:lastColumn="0" w:oddVBand="0" w:evenVBand="0" w:oddHBand="0" w:evenHBand="0" w:firstRowFirstColumn="0" w:firstRowLastColumn="0" w:lastRowFirstColumn="0" w:lastRowLastColumn="0"/>
        </w:trPr>
        <w:tc>
          <w:tcPr>
            <w:tcW w:w="1764" w:type="pct"/>
            <w:hideMark/>
          </w:tcPr>
          <w:p w14:paraId="21DF458B" w14:textId="77777777" w:rsidR="006145A3" w:rsidRPr="00E63160" w:rsidRDefault="006145A3" w:rsidP="003E4CEC">
            <w:pPr>
              <w:pStyle w:val="TableColumn"/>
              <w:rPr>
                <w:b/>
              </w:rPr>
            </w:pPr>
            <w:r w:rsidRPr="00E63160">
              <w:rPr>
                <w:b/>
              </w:rPr>
              <w:t>Indigenous language families and main languages</w:t>
            </w:r>
          </w:p>
        </w:tc>
        <w:tc>
          <w:tcPr>
            <w:tcW w:w="842" w:type="pct"/>
            <w:hideMark/>
          </w:tcPr>
          <w:p w14:paraId="0D7BA7BC" w14:textId="77777777" w:rsidR="006145A3" w:rsidRPr="00E63160" w:rsidRDefault="006145A3" w:rsidP="003E4CEC">
            <w:pPr>
              <w:pStyle w:val="TableColumn"/>
              <w:rPr>
                <w:b/>
              </w:rPr>
            </w:pPr>
            <w:r w:rsidRPr="00E63160">
              <w:rPr>
                <w:b/>
              </w:rPr>
              <w:t>Population</w:t>
            </w:r>
          </w:p>
        </w:tc>
        <w:tc>
          <w:tcPr>
            <w:tcW w:w="2394" w:type="pct"/>
            <w:hideMark/>
          </w:tcPr>
          <w:p w14:paraId="5BDEA0A6" w14:textId="77777777" w:rsidR="006145A3" w:rsidRPr="00E63160" w:rsidRDefault="006145A3" w:rsidP="003E4CEC">
            <w:pPr>
              <w:pStyle w:val="TableColumn"/>
              <w:rPr>
                <w:b/>
              </w:rPr>
            </w:pPr>
            <w:r w:rsidRPr="00E63160">
              <w:rPr>
                <w:b/>
              </w:rPr>
              <w:t>Main provincial and territorial concentrations</w:t>
            </w:r>
          </w:p>
        </w:tc>
      </w:tr>
      <w:tr w:rsidR="006145A3" w14:paraId="058426FE" w14:textId="77777777" w:rsidTr="003E4CEC">
        <w:tc>
          <w:tcPr>
            <w:tcW w:w="1764" w:type="pct"/>
            <w:shd w:val="clear" w:color="auto" w:fill="D9D9D9" w:themeFill="background1" w:themeFillShade="D9"/>
            <w:hideMark/>
          </w:tcPr>
          <w:p w14:paraId="740E7868" w14:textId="77777777" w:rsidR="006145A3" w:rsidRDefault="006145A3" w:rsidP="003E4CEC">
            <w:pPr>
              <w:pStyle w:val="TableRow"/>
            </w:pPr>
            <w:r>
              <w:t>Algonquian languages</w:t>
            </w:r>
          </w:p>
        </w:tc>
        <w:tc>
          <w:tcPr>
            <w:tcW w:w="842" w:type="pct"/>
            <w:shd w:val="clear" w:color="auto" w:fill="D9D9D9" w:themeFill="background1" w:themeFillShade="D9"/>
            <w:hideMark/>
          </w:tcPr>
          <w:p w14:paraId="6A2E1CAC" w14:textId="77777777" w:rsidR="006145A3" w:rsidRDefault="006145A3" w:rsidP="003E4CEC">
            <w:pPr>
              <w:pStyle w:val="TableCell"/>
            </w:pPr>
            <w:r>
              <w:t>175 825</w:t>
            </w:r>
          </w:p>
        </w:tc>
        <w:tc>
          <w:tcPr>
            <w:tcW w:w="2394" w:type="pct"/>
            <w:shd w:val="clear" w:color="auto" w:fill="D9D9D9" w:themeFill="background1" w:themeFillShade="D9"/>
            <w:hideMark/>
          </w:tcPr>
          <w:p w14:paraId="060EEC19" w14:textId="77777777" w:rsidR="006145A3" w:rsidRDefault="006145A3" w:rsidP="003E4CEC">
            <w:pPr>
              <w:pStyle w:val="TableRow"/>
            </w:pPr>
            <w:r>
              <w:t>Manitoba (21.7%), Quebec (21.2%), Ontario (17.2%), Alberta (16.7%), Saskatchewan (16.0%)</w:t>
            </w:r>
          </w:p>
        </w:tc>
      </w:tr>
      <w:tr w:rsidR="006145A3" w14:paraId="33E4E22D" w14:textId="77777777" w:rsidTr="003E4CEC">
        <w:tc>
          <w:tcPr>
            <w:tcW w:w="1764" w:type="pct"/>
            <w:hideMark/>
          </w:tcPr>
          <w:p w14:paraId="39D8A2AF" w14:textId="77777777" w:rsidR="006145A3" w:rsidRDefault="006145A3" w:rsidP="003E4CEC">
            <w:pPr>
              <w:pStyle w:val="TableRow"/>
            </w:pPr>
            <w:r>
              <w:t>Cree (multiple languages)</w:t>
            </w:r>
          </w:p>
        </w:tc>
        <w:tc>
          <w:tcPr>
            <w:tcW w:w="842" w:type="pct"/>
            <w:hideMark/>
          </w:tcPr>
          <w:p w14:paraId="46E5E732" w14:textId="77777777" w:rsidR="006145A3" w:rsidRDefault="006145A3" w:rsidP="003E4CEC">
            <w:pPr>
              <w:pStyle w:val="TableCell"/>
            </w:pPr>
            <w:r>
              <w:t>96 575</w:t>
            </w:r>
          </w:p>
        </w:tc>
        <w:tc>
          <w:tcPr>
            <w:tcW w:w="2394" w:type="pct"/>
            <w:hideMark/>
          </w:tcPr>
          <w:p w14:paraId="7CE337E9" w14:textId="77777777" w:rsidR="006145A3" w:rsidRDefault="006145A3" w:rsidP="003E4CEC">
            <w:pPr>
              <w:pStyle w:val="TableRow"/>
            </w:pPr>
            <w:r>
              <w:t>Saskatchewan (27.8%), Alberta (24.0%), Manitoba (21.6%), Quebec (18.0%)</w:t>
            </w:r>
          </w:p>
        </w:tc>
      </w:tr>
      <w:tr w:rsidR="006145A3" w14:paraId="58236AEC" w14:textId="77777777" w:rsidTr="003E4CEC">
        <w:tc>
          <w:tcPr>
            <w:tcW w:w="1764" w:type="pct"/>
            <w:hideMark/>
          </w:tcPr>
          <w:p w14:paraId="6EC5ADFD" w14:textId="77777777" w:rsidR="006145A3" w:rsidRDefault="006145A3" w:rsidP="003E4CEC">
            <w:pPr>
              <w:pStyle w:val="TableRow"/>
            </w:pPr>
            <w:r>
              <w:t>Ojibway</w:t>
            </w:r>
          </w:p>
        </w:tc>
        <w:tc>
          <w:tcPr>
            <w:tcW w:w="842" w:type="pct"/>
            <w:hideMark/>
          </w:tcPr>
          <w:p w14:paraId="30B0B45A" w14:textId="77777777" w:rsidR="006145A3" w:rsidRDefault="006145A3" w:rsidP="003E4CEC">
            <w:pPr>
              <w:pStyle w:val="TableCell"/>
            </w:pPr>
            <w:r>
              <w:t>28 130</w:t>
            </w:r>
          </w:p>
        </w:tc>
        <w:tc>
          <w:tcPr>
            <w:tcW w:w="2394" w:type="pct"/>
            <w:hideMark/>
          </w:tcPr>
          <w:p w14:paraId="0603BAD7" w14:textId="77777777" w:rsidR="006145A3" w:rsidRDefault="006145A3" w:rsidP="003E4CEC">
            <w:pPr>
              <w:pStyle w:val="TableRow"/>
            </w:pPr>
            <w:r>
              <w:t>Ontario (56.6%), Manitoba (34.1%)</w:t>
            </w:r>
          </w:p>
        </w:tc>
      </w:tr>
      <w:tr w:rsidR="006145A3" w14:paraId="5F834D76" w14:textId="77777777" w:rsidTr="003E4CEC">
        <w:tc>
          <w:tcPr>
            <w:tcW w:w="1764" w:type="pct"/>
            <w:hideMark/>
          </w:tcPr>
          <w:p w14:paraId="61C9CF00" w14:textId="77777777" w:rsidR="006145A3" w:rsidRDefault="006145A3" w:rsidP="003E4CEC">
            <w:pPr>
              <w:pStyle w:val="TableRow"/>
            </w:pPr>
            <w:r>
              <w:t>Oji Cree</w:t>
            </w:r>
          </w:p>
        </w:tc>
        <w:tc>
          <w:tcPr>
            <w:tcW w:w="842" w:type="pct"/>
            <w:hideMark/>
          </w:tcPr>
          <w:p w14:paraId="16172917" w14:textId="77777777" w:rsidR="006145A3" w:rsidRDefault="006145A3" w:rsidP="003E4CEC">
            <w:pPr>
              <w:pStyle w:val="TableCell"/>
            </w:pPr>
            <w:r>
              <w:t>15 585</w:t>
            </w:r>
          </w:p>
        </w:tc>
        <w:tc>
          <w:tcPr>
            <w:tcW w:w="2394" w:type="pct"/>
            <w:hideMark/>
          </w:tcPr>
          <w:p w14:paraId="11901506" w14:textId="77777777" w:rsidR="006145A3" w:rsidRDefault="006145A3" w:rsidP="003E4CEC">
            <w:pPr>
              <w:pStyle w:val="TableRow"/>
            </w:pPr>
            <w:r>
              <w:t>Manitoba (51.6%), Ontario (48.2%)</w:t>
            </w:r>
          </w:p>
        </w:tc>
      </w:tr>
      <w:tr w:rsidR="006145A3" w14:paraId="4FC3F379" w14:textId="77777777" w:rsidTr="003E4CEC">
        <w:tc>
          <w:tcPr>
            <w:tcW w:w="1764" w:type="pct"/>
            <w:hideMark/>
          </w:tcPr>
          <w:p w14:paraId="4B3F903E" w14:textId="77777777" w:rsidR="006145A3" w:rsidRDefault="006145A3" w:rsidP="003E4CEC">
            <w:pPr>
              <w:pStyle w:val="TableRow"/>
            </w:pPr>
            <w:r>
              <w:t>Montagnais (Innu)</w:t>
            </w:r>
          </w:p>
        </w:tc>
        <w:tc>
          <w:tcPr>
            <w:tcW w:w="842" w:type="pct"/>
            <w:hideMark/>
          </w:tcPr>
          <w:p w14:paraId="608D7556" w14:textId="77777777" w:rsidR="006145A3" w:rsidRDefault="006145A3" w:rsidP="003E4CEC">
            <w:pPr>
              <w:pStyle w:val="TableCell"/>
            </w:pPr>
            <w:r>
              <w:t>11 360</w:t>
            </w:r>
          </w:p>
        </w:tc>
        <w:tc>
          <w:tcPr>
            <w:tcW w:w="2394" w:type="pct"/>
            <w:hideMark/>
          </w:tcPr>
          <w:p w14:paraId="2DDB43C7" w14:textId="77777777" w:rsidR="006145A3" w:rsidRDefault="006145A3" w:rsidP="003E4CEC">
            <w:pPr>
              <w:pStyle w:val="TableRow"/>
            </w:pPr>
            <w:r>
              <w:t>Quebec (86.0%)</w:t>
            </w:r>
          </w:p>
        </w:tc>
      </w:tr>
      <w:tr w:rsidR="006145A3" w14:paraId="588DB756" w14:textId="77777777" w:rsidTr="003E4CEC">
        <w:tc>
          <w:tcPr>
            <w:tcW w:w="1764" w:type="pct"/>
            <w:hideMark/>
          </w:tcPr>
          <w:p w14:paraId="2B603C0E" w14:textId="77777777" w:rsidR="006145A3" w:rsidRDefault="006145A3" w:rsidP="003E4CEC">
            <w:pPr>
              <w:pStyle w:val="TableRow"/>
            </w:pPr>
            <w:r>
              <w:t>Mi'kmaq</w:t>
            </w:r>
          </w:p>
        </w:tc>
        <w:tc>
          <w:tcPr>
            <w:tcW w:w="842" w:type="pct"/>
            <w:hideMark/>
          </w:tcPr>
          <w:p w14:paraId="25ECA96C" w14:textId="77777777" w:rsidR="006145A3" w:rsidRDefault="006145A3" w:rsidP="003E4CEC">
            <w:pPr>
              <w:pStyle w:val="TableCell"/>
            </w:pPr>
            <w:r>
              <w:t>8 870</w:t>
            </w:r>
          </w:p>
        </w:tc>
        <w:tc>
          <w:tcPr>
            <w:tcW w:w="2394" w:type="pct"/>
            <w:hideMark/>
          </w:tcPr>
          <w:p w14:paraId="032C60E4" w14:textId="77777777" w:rsidR="006145A3" w:rsidRDefault="006145A3" w:rsidP="003E4CEC">
            <w:pPr>
              <w:pStyle w:val="TableRow"/>
            </w:pPr>
            <w:r>
              <w:t>Nova Scotia (61.9%), New Brunswick (24.6%)</w:t>
            </w:r>
          </w:p>
        </w:tc>
      </w:tr>
      <w:tr w:rsidR="006145A3" w14:paraId="0A60CDA6" w14:textId="77777777" w:rsidTr="003E4CEC">
        <w:tc>
          <w:tcPr>
            <w:tcW w:w="1764" w:type="pct"/>
            <w:hideMark/>
          </w:tcPr>
          <w:p w14:paraId="4FBF3409" w14:textId="77777777" w:rsidR="006145A3" w:rsidRDefault="006145A3" w:rsidP="003E4CEC">
            <w:pPr>
              <w:pStyle w:val="TableRow"/>
            </w:pPr>
            <w:r>
              <w:t>Atikamekw</w:t>
            </w:r>
          </w:p>
        </w:tc>
        <w:tc>
          <w:tcPr>
            <w:tcW w:w="842" w:type="pct"/>
            <w:hideMark/>
          </w:tcPr>
          <w:p w14:paraId="753C2D49" w14:textId="77777777" w:rsidR="006145A3" w:rsidRDefault="006145A3" w:rsidP="003E4CEC">
            <w:pPr>
              <w:pStyle w:val="TableCell"/>
            </w:pPr>
            <w:r>
              <w:t>6 600</w:t>
            </w:r>
          </w:p>
        </w:tc>
        <w:tc>
          <w:tcPr>
            <w:tcW w:w="2394" w:type="pct"/>
            <w:hideMark/>
          </w:tcPr>
          <w:p w14:paraId="20A23891" w14:textId="77777777" w:rsidR="006145A3" w:rsidRDefault="006145A3" w:rsidP="003E4CEC">
            <w:pPr>
              <w:pStyle w:val="TableRow"/>
            </w:pPr>
            <w:r>
              <w:t>Quebec (99.9%)</w:t>
            </w:r>
          </w:p>
        </w:tc>
      </w:tr>
      <w:tr w:rsidR="006145A3" w14:paraId="2043E671" w14:textId="77777777" w:rsidTr="003E4CEC">
        <w:tc>
          <w:tcPr>
            <w:tcW w:w="1764" w:type="pct"/>
            <w:hideMark/>
          </w:tcPr>
          <w:p w14:paraId="3EBE0AE8" w14:textId="77777777" w:rsidR="006145A3" w:rsidRDefault="006145A3" w:rsidP="003E4CEC">
            <w:pPr>
              <w:pStyle w:val="TableRow"/>
            </w:pPr>
            <w:r>
              <w:t>Blackfoot</w:t>
            </w:r>
          </w:p>
        </w:tc>
        <w:tc>
          <w:tcPr>
            <w:tcW w:w="842" w:type="pct"/>
            <w:hideMark/>
          </w:tcPr>
          <w:p w14:paraId="1BB54990" w14:textId="77777777" w:rsidR="006145A3" w:rsidRDefault="006145A3" w:rsidP="003E4CEC">
            <w:pPr>
              <w:pStyle w:val="TableCell"/>
            </w:pPr>
            <w:r>
              <w:t>5 565</w:t>
            </w:r>
          </w:p>
        </w:tc>
        <w:tc>
          <w:tcPr>
            <w:tcW w:w="2394" w:type="pct"/>
            <w:hideMark/>
          </w:tcPr>
          <w:p w14:paraId="14D3E6A4" w14:textId="77777777" w:rsidR="006145A3" w:rsidRDefault="006145A3" w:rsidP="003E4CEC">
            <w:pPr>
              <w:pStyle w:val="TableRow"/>
            </w:pPr>
            <w:r>
              <w:t>Alberta (98.7%)</w:t>
            </w:r>
          </w:p>
        </w:tc>
      </w:tr>
      <w:tr w:rsidR="006145A3" w14:paraId="3CF10EBC" w14:textId="77777777" w:rsidTr="003E4CEC">
        <w:tc>
          <w:tcPr>
            <w:tcW w:w="1764" w:type="pct"/>
            <w:shd w:val="clear" w:color="auto" w:fill="D9D9D9" w:themeFill="background1" w:themeFillShade="D9"/>
            <w:hideMark/>
          </w:tcPr>
          <w:p w14:paraId="67EC2DC1" w14:textId="77777777" w:rsidR="006145A3" w:rsidRDefault="006145A3" w:rsidP="003E4CEC">
            <w:pPr>
              <w:pStyle w:val="TableRow"/>
            </w:pPr>
            <w:r>
              <w:t>Inuit languages</w:t>
            </w:r>
          </w:p>
        </w:tc>
        <w:tc>
          <w:tcPr>
            <w:tcW w:w="842" w:type="pct"/>
            <w:shd w:val="clear" w:color="auto" w:fill="D9D9D9" w:themeFill="background1" w:themeFillShade="D9"/>
            <w:hideMark/>
          </w:tcPr>
          <w:p w14:paraId="6AA4217F" w14:textId="77777777" w:rsidR="006145A3" w:rsidRDefault="006145A3" w:rsidP="003E4CEC">
            <w:pPr>
              <w:pStyle w:val="TableCell"/>
            </w:pPr>
            <w:r>
              <w:t>42 065</w:t>
            </w:r>
          </w:p>
        </w:tc>
        <w:tc>
          <w:tcPr>
            <w:tcW w:w="2394" w:type="pct"/>
            <w:shd w:val="clear" w:color="auto" w:fill="D9D9D9" w:themeFill="background1" w:themeFillShade="D9"/>
            <w:hideMark/>
          </w:tcPr>
          <w:p w14:paraId="35A603EB" w14:textId="77777777" w:rsidR="006145A3" w:rsidRDefault="006145A3" w:rsidP="003E4CEC">
            <w:pPr>
              <w:pStyle w:val="TableRow"/>
            </w:pPr>
            <w:r>
              <w:t>Nunavut (64.1%), Quebec (29.4%)</w:t>
            </w:r>
          </w:p>
        </w:tc>
      </w:tr>
      <w:tr w:rsidR="006145A3" w14:paraId="4C85D353" w14:textId="77777777" w:rsidTr="003E4CEC">
        <w:tc>
          <w:tcPr>
            <w:tcW w:w="1764" w:type="pct"/>
            <w:hideMark/>
          </w:tcPr>
          <w:p w14:paraId="06CF1D43" w14:textId="77777777" w:rsidR="006145A3" w:rsidRDefault="006145A3" w:rsidP="003E4CEC">
            <w:pPr>
              <w:pStyle w:val="TableRow"/>
            </w:pPr>
            <w:r>
              <w:t>Inuktitut</w:t>
            </w:r>
          </w:p>
        </w:tc>
        <w:tc>
          <w:tcPr>
            <w:tcW w:w="842" w:type="pct"/>
            <w:hideMark/>
          </w:tcPr>
          <w:p w14:paraId="52A25A72" w14:textId="77777777" w:rsidR="006145A3" w:rsidRDefault="006145A3" w:rsidP="003E4CEC">
            <w:pPr>
              <w:pStyle w:val="TableCell"/>
            </w:pPr>
            <w:r>
              <w:t>39 770</w:t>
            </w:r>
          </w:p>
        </w:tc>
        <w:tc>
          <w:tcPr>
            <w:tcW w:w="2394" w:type="pct"/>
            <w:hideMark/>
          </w:tcPr>
          <w:p w14:paraId="3974AFB7" w14:textId="77777777" w:rsidR="006145A3" w:rsidRDefault="006145A3" w:rsidP="003E4CEC">
            <w:pPr>
              <w:pStyle w:val="TableRow"/>
            </w:pPr>
            <w:r>
              <w:t>Nunavut (65.0%), Quebec (30.8%)</w:t>
            </w:r>
          </w:p>
        </w:tc>
      </w:tr>
      <w:tr w:rsidR="006145A3" w14:paraId="65076B1F" w14:textId="77777777" w:rsidTr="003E4CEC">
        <w:tc>
          <w:tcPr>
            <w:tcW w:w="1764" w:type="pct"/>
            <w:shd w:val="clear" w:color="auto" w:fill="D9D9D9" w:themeFill="background1" w:themeFillShade="D9"/>
            <w:hideMark/>
          </w:tcPr>
          <w:p w14:paraId="4508FACF" w14:textId="77777777" w:rsidR="006145A3" w:rsidRDefault="006145A3" w:rsidP="003E4CEC">
            <w:pPr>
              <w:pStyle w:val="TableRow"/>
            </w:pPr>
            <w:r>
              <w:t>Athabaskan languages</w:t>
            </w:r>
          </w:p>
        </w:tc>
        <w:tc>
          <w:tcPr>
            <w:tcW w:w="842" w:type="pct"/>
            <w:shd w:val="clear" w:color="auto" w:fill="D9D9D9" w:themeFill="background1" w:themeFillShade="D9"/>
            <w:hideMark/>
          </w:tcPr>
          <w:p w14:paraId="048AA102" w14:textId="77777777" w:rsidR="006145A3" w:rsidRDefault="006145A3" w:rsidP="003E4CEC">
            <w:pPr>
              <w:pStyle w:val="TableCell"/>
            </w:pPr>
            <w:r>
              <w:t>23 455</w:t>
            </w:r>
          </w:p>
        </w:tc>
        <w:tc>
          <w:tcPr>
            <w:tcW w:w="2394" w:type="pct"/>
            <w:shd w:val="clear" w:color="auto" w:fill="D9D9D9" w:themeFill="background1" w:themeFillShade="D9"/>
            <w:hideMark/>
          </w:tcPr>
          <w:p w14:paraId="554F79FB" w14:textId="77777777" w:rsidR="006145A3" w:rsidRDefault="006145A3" w:rsidP="003E4CEC">
            <w:pPr>
              <w:pStyle w:val="TableRow"/>
            </w:pPr>
            <w:r>
              <w:t>Saskatchewan (38.7%), Northwest Territories (22.9%), British Columbia (18.4%)</w:t>
            </w:r>
          </w:p>
        </w:tc>
      </w:tr>
      <w:tr w:rsidR="006145A3" w14:paraId="5C0FD12B" w14:textId="77777777" w:rsidTr="003E4CEC">
        <w:tc>
          <w:tcPr>
            <w:tcW w:w="1764" w:type="pct"/>
            <w:hideMark/>
          </w:tcPr>
          <w:p w14:paraId="68A57567" w14:textId="77777777" w:rsidR="006145A3" w:rsidRDefault="006145A3" w:rsidP="003E4CEC">
            <w:pPr>
              <w:pStyle w:val="TableRow"/>
            </w:pPr>
            <w:r>
              <w:t>Dene</w:t>
            </w:r>
          </w:p>
        </w:tc>
        <w:tc>
          <w:tcPr>
            <w:tcW w:w="842" w:type="pct"/>
            <w:hideMark/>
          </w:tcPr>
          <w:p w14:paraId="2E95D4E6" w14:textId="77777777" w:rsidR="006145A3" w:rsidRDefault="006145A3" w:rsidP="003E4CEC">
            <w:pPr>
              <w:pStyle w:val="TableCell"/>
            </w:pPr>
            <w:r>
              <w:t>13 005</w:t>
            </w:r>
          </w:p>
        </w:tc>
        <w:tc>
          <w:tcPr>
            <w:tcW w:w="2394" w:type="pct"/>
            <w:hideMark/>
          </w:tcPr>
          <w:p w14:paraId="45154549" w14:textId="77777777" w:rsidR="006145A3" w:rsidRDefault="006145A3" w:rsidP="003E4CEC">
            <w:pPr>
              <w:pStyle w:val="TableRow"/>
            </w:pPr>
            <w:r>
              <w:t>Saskatchewan (69.7%), Alberta (15.3%)</w:t>
            </w:r>
          </w:p>
        </w:tc>
      </w:tr>
      <w:tr w:rsidR="006145A3" w14:paraId="5E95FE9F" w14:textId="77777777" w:rsidTr="003E4CEC">
        <w:tc>
          <w:tcPr>
            <w:tcW w:w="1764" w:type="pct"/>
            <w:shd w:val="clear" w:color="auto" w:fill="D9D9D9" w:themeFill="background1" w:themeFillShade="D9"/>
            <w:hideMark/>
          </w:tcPr>
          <w:p w14:paraId="65D83BAE" w14:textId="77777777" w:rsidR="006145A3" w:rsidRDefault="006145A3" w:rsidP="003E4CEC">
            <w:pPr>
              <w:pStyle w:val="TableRow"/>
            </w:pPr>
            <w:r>
              <w:t>Salish languages</w:t>
            </w:r>
          </w:p>
        </w:tc>
        <w:tc>
          <w:tcPr>
            <w:tcW w:w="842" w:type="pct"/>
            <w:shd w:val="clear" w:color="auto" w:fill="D9D9D9" w:themeFill="background1" w:themeFillShade="D9"/>
            <w:hideMark/>
          </w:tcPr>
          <w:p w14:paraId="337672FB" w14:textId="77777777" w:rsidR="006145A3" w:rsidRDefault="006145A3" w:rsidP="003E4CEC">
            <w:pPr>
              <w:pStyle w:val="TableCell"/>
            </w:pPr>
            <w:r>
              <w:t>5 620</w:t>
            </w:r>
          </w:p>
        </w:tc>
        <w:tc>
          <w:tcPr>
            <w:tcW w:w="2394" w:type="pct"/>
            <w:shd w:val="clear" w:color="auto" w:fill="D9D9D9" w:themeFill="background1" w:themeFillShade="D9"/>
            <w:hideMark/>
          </w:tcPr>
          <w:p w14:paraId="6225C8D2" w14:textId="77777777" w:rsidR="006145A3" w:rsidRDefault="006145A3" w:rsidP="003E4CEC">
            <w:pPr>
              <w:pStyle w:val="TableRow"/>
            </w:pPr>
            <w:r>
              <w:t>British Columbia (98.8%)</w:t>
            </w:r>
          </w:p>
        </w:tc>
      </w:tr>
      <w:tr w:rsidR="006145A3" w14:paraId="2ABB44C8" w14:textId="77777777" w:rsidTr="003E4CEC">
        <w:tc>
          <w:tcPr>
            <w:tcW w:w="1764" w:type="pct"/>
            <w:hideMark/>
          </w:tcPr>
          <w:p w14:paraId="3B560DE7" w14:textId="77777777" w:rsidR="006145A3" w:rsidRDefault="006145A3" w:rsidP="003E4CEC">
            <w:pPr>
              <w:pStyle w:val="TableRow"/>
            </w:pPr>
            <w:r>
              <w:t>Shuswap (Secwepemctsin)</w:t>
            </w:r>
          </w:p>
        </w:tc>
        <w:tc>
          <w:tcPr>
            <w:tcW w:w="842" w:type="pct"/>
            <w:hideMark/>
          </w:tcPr>
          <w:p w14:paraId="6F601F39" w14:textId="77777777" w:rsidR="006145A3" w:rsidRDefault="006145A3" w:rsidP="003E4CEC">
            <w:pPr>
              <w:pStyle w:val="TableCell"/>
            </w:pPr>
            <w:r>
              <w:t>1 290</w:t>
            </w:r>
          </w:p>
        </w:tc>
        <w:tc>
          <w:tcPr>
            <w:tcW w:w="2394" w:type="pct"/>
            <w:hideMark/>
          </w:tcPr>
          <w:p w14:paraId="559AB269" w14:textId="77777777" w:rsidR="006145A3" w:rsidRDefault="006145A3" w:rsidP="003E4CEC">
            <w:pPr>
              <w:pStyle w:val="TableRow"/>
            </w:pPr>
            <w:r>
              <w:t>British Columbia (98.4%)</w:t>
            </w:r>
          </w:p>
        </w:tc>
      </w:tr>
      <w:tr w:rsidR="006145A3" w14:paraId="1FAAA6EC" w14:textId="77777777" w:rsidTr="003E4CEC">
        <w:tc>
          <w:tcPr>
            <w:tcW w:w="1764" w:type="pct"/>
            <w:shd w:val="clear" w:color="auto" w:fill="D9D9D9" w:themeFill="background1" w:themeFillShade="D9"/>
            <w:hideMark/>
          </w:tcPr>
          <w:p w14:paraId="6D4A6FF0" w14:textId="77777777" w:rsidR="006145A3" w:rsidRDefault="006145A3" w:rsidP="003E4CEC">
            <w:pPr>
              <w:pStyle w:val="TableRow"/>
            </w:pPr>
            <w:r>
              <w:t>Siouan languages</w:t>
            </w:r>
          </w:p>
        </w:tc>
        <w:tc>
          <w:tcPr>
            <w:tcW w:w="842" w:type="pct"/>
            <w:shd w:val="clear" w:color="auto" w:fill="D9D9D9" w:themeFill="background1" w:themeFillShade="D9"/>
            <w:hideMark/>
          </w:tcPr>
          <w:p w14:paraId="5BB54EBC" w14:textId="77777777" w:rsidR="006145A3" w:rsidRDefault="006145A3" w:rsidP="003E4CEC">
            <w:pPr>
              <w:pStyle w:val="TableCell"/>
            </w:pPr>
            <w:r>
              <w:t>5 400</w:t>
            </w:r>
          </w:p>
        </w:tc>
        <w:tc>
          <w:tcPr>
            <w:tcW w:w="2394" w:type="pct"/>
            <w:shd w:val="clear" w:color="auto" w:fill="D9D9D9" w:themeFill="background1" w:themeFillShade="D9"/>
            <w:hideMark/>
          </w:tcPr>
          <w:p w14:paraId="559A6893" w14:textId="77777777" w:rsidR="006145A3" w:rsidRDefault="006145A3" w:rsidP="003E4CEC">
            <w:pPr>
              <w:pStyle w:val="TableRow"/>
            </w:pPr>
            <w:r>
              <w:t>Alberta (74.9%), Manitoba (14.2%)</w:t>
            </w:r>
          </w:p>
        </w:tc>
      </w:tr>
      <w:tr w:rsidR="006145A3" w14:paraId="6E0C179D" w14:textId="77777777" w:rsidTr="003E4CEC">
        <w:tc>
          <w:tcPr>
            <w:tcW w:w="1764" w:type="pct"/>
            <w:hideMark/>
          </w:tcPr>
          <w:p w14:paraId="70D26534" w14:textId="77777777" w:rsidR="006145A3" w:rsidRDefault="006145A3" w:rsidP="003E4CEC">
            <w:pPr>
              <w:pStyle w:val="TableRow"/>
            </w:pPr>
            <w:r>
              <w:t>Stoney</w:t>
            </w:r>
          </w:p>
        </w:tc>
        <w:tc>
          <w:tcPr>
            <w:tcW w:w="842" w:type="pct"/>
            <w:hideMark/>
          </w:tcPr>
          <w:p w14:paraId="528161F1" w14:textId="77777777" w:rsidR="006145A3" w:rsidRDefault="006145A3" w:rsidP="003E4CEC">
            <w:pPr>
              <w:pStyle w:val="TableCell"/>
            </w:pPr>
            <w:r>
              <w:t>3 665</w:t>
            </w:r>
          </w:p>
        </w:tc>
        <w:tc>
          <w:tcPr>
            <w:tcW w:w="2394" w:type="pct"/>
            <w:hideMark/>
          </w:tcPr>
          <w:p w14:paraId="489743AD" w14:textId="77777777" w:rsidR="006145A3" w:rsidRDefault="006145A3" w:rsidP="003E4CEC">
            <w:pPr>
              <w:pStyle w:val="TableRow"/>
            </w:pPr>
            <w:r>
              <w:t>Alberta (99.3%)</w:t>
            </w:r>
          </w:p>
        </w:tc>
      </w:tr>
      <w:tr w:rsidR="006145A3" w14:paraId="3B8CA063" w14:textId="77777777" w:rsidTr="003E4CEC">
        <w:tc>
          <w:tcPr>
            <w:tcW w:w="1764" w:type="pct"/>
            <w:shd w:val="clear" w:color="auto" w:fill="D9D9D9" w:themeFill="background1" w:themeFillShade="D9"/>
            <w:hideMark/>
          </w:tcPr>
          <w:p w14:paraId="60F2E515" w14:textId="77777777" w:rsidR="006145A3" w:rsidRDefault="006145A3" w:rsidP="003E4CEC">
            <w:pPr>
              <w:pStyle w:val="TableRow"/>
            </w:pPr>
            <w:r>
              <w:t>Iroquoian languages</w:t>
            </w:r>
          </w:p>
        </w:tc>
        <w:tc>
          <w:tcPr>
            <w:tcW w:w="842" w:type="pct"/>
            <w:shd w:val="clear" w:color="auto" w:fill="D9D9D9" w:themeFill="background1" w:themeFillShade="D9"/>
            <w:hideMark/>
          </w:tcPr>
          <w:p w14:paraId="614B4AFE" w14:textId="77777777" w:rsidR="006145A3" w:rsidRDefault="006145A3" w:rsidP="003E4CEC">
            <w:pPr>
              <w:pStyle w:val="TableCell"/>
            </w:pPr>
            <w:r>
              <w:t>2 715</w:t>
            </w:r>
          </w:p>
        </w:tc>
        <w:tc>
          <w:tcPr>
            <w:tcW w:w="2394" w:type="pct"/>
            <w:shd w:val="clear" w:color="auto" w:fill="D9D9D9" w:themeFill="background1" w:themeFillShade="D9"/>
            <w:hideMark/>
          </w:tcPr>
          <w:p w14:paraId="2088CF7D" w14:textId="77777777" w:rsidR="006145A3" w:rsidRDefault="006145A3" w:rsidP="003E4CEC">
            <w:pPr>
              <w:pStyle w:val="TableRow"/>
            </w:pPr>
            <w:r>
              <w:t>Ontario (68.9%), Quebec (26.9%)</w:t>
            </w:r>
          </w:p>
        </w:tc>
      </w:tr>
      <w:tr w:rsidR="006145A3" w14:paraId="4495FAA4" w14:textId="77777777" w:rsidTr="003E4CEC">
        <w:tc>
          <w:tcPr>
            <w:tcW w:w="1764" w:type="pct"/>
            <w:hideMark/>
          </w:tcPr>
          <w:p w14:paraId="1CF1D5BA" w14:textId="77777777" w:rsidR="006145A3" w:rsidRDefault="006145A3" w:rsidP="003E4CEC">
            <w:pPr>
              <w:pStyle w:val="TableRow"/>
            </w:pPr>
            <w:r>
              <w:t>Mohawk</w:t>
            </w:r>
          </w:p>
        </w:tc>
        <w:tc>
          <w:tcPr>
            <w:tcW w:w="842" w:type="pct"/>
            <w:hideMark/>
          </w:tcPr>
          <w:p w14:paraId="04A0F94C" w14:textId="77777777" w:rsidR="006145A3" w:rsidRDefault="006145A3" w:rsidP="003E4CEC">
            <w:pPr>
              <w:pStyle w:val="TableCell"/>
            </w:pPr>
            <w:r>
              <w:t>2 350</w:t>
            </w:r>
          </w:p>
        </w:tc>
        <w:tc>
          <w:tcPr>
            <w:tcW w:w="2394" w:type="pct"/>
            <w:hideMark/>
          </w:tcPr>
          <w:p w14:paraId="2E8878FB" w14:textId="77777777" w:rsidR="006145A3" w:rsidRDefault="006145A3" w:rsidP="003E4CEC">
            <w:pPr>
              <w:pStyle w:val="TableRow"/>
            </w:pPr>
            <w:r>
              <w:t>Ontario (66.6%), Quebec (28.9%)</w:t>
            </w:r>
          </w:p>
        </w:tc>
      </w:tr>
      <w:tr w:rsidR="006145A3" w14:paraId="67BD283A" w14:textId="77777777" w:rsidTr="003E4CEC">
        <w:tc>
          <w:tcPr>
            <w:tcW w:w="1764" w:type="pct"/>
            <w:shd w:val="clear" w:color="auto" w:fill="D9D9D9" w:themeFill="background1" w:themeFillShade="D9"/>
            <w:hideMark/>
          </w:tcPr>
          <w:p w14:paraId="48BD4E07" w14:textId="77777777" w:rsidR="006145A3" w:rsidRDefault="006145A3" w:rsidP="003E4CEC">
            <w:pPr>
              <w:pStyle w:val="TableRow"/>
            </w:pPr>
            <w:r>
              <w:t>Tsimshian languages</w:t>
            </w:r>
          </w:p>
        </w:tc>
        <w:tc>
          <w:tcPr>
            <w:tcW w:w="842" w:type="pct"/>
            <w:shd w:val="clear" w:color="auto" w:fill="D9D9D9" w:themeFill="background1" w:themeFillShade="D9"/>
            <w:hideMark/>
          </w:tcPr>
          <w:p w14:paraId="21674454" w14:textId="77777777" w:rsidR="006145A3" w:rsidRDefault="006145A3" w:rsidP="003E4CEC">
            <w:pPr>
              <w:pStyle w:val="TableCell"/>
            </w:pPr>
            <w:r>
              <w:t>2 695</w:t>
            </w:r>
          </w:p>
        </w:tc>
        <w:tc>
          <w:tcPr>
            <w:tcW w:w="2394" w:type="pct"/>
            <w:shd w:val="clear" w:color="auto" w:fill="D9D9D9" w:themeFill="background1" w:themeFillShade="D9"/>
            <w:hideMark/>
          </w:tcPr>
          <w:p w14:paraId="11B4FF91" w14:textId="77777777" w:rsidR="006145A3" w:rsidRDefault="006145A3" w:rsidP="003E4CEC">
            <w:pPr>
              <w:pStyle w:val="TableRow"/>
            </w:pPr>
            <w:r>
              <w:t>British Columbia (98.1%)</w:t>
            </w:r>
          </w:p>
        </w:tc>
      </w:tr>
      <w:tr w:rsidR="006145A3" w14:paraId="3D791E30" w14:textId="77777777" w:rsidTr="003E4CEC">
        <w:tc>
          <w:tcPr>
            <w:tcW w:w="1764" w:type="pct"/>
            <w:hideMark/>
          </w:tcPr>
          <w:p w14:paraId="5EBD2F02" w14:textId="77777777" w:rsidR="006145A3" w:rsidRDefault="006145A3" w:rsidP="003E4CEC">
            <w:pPr>
              <w:pStyle w:val="TableRow"/>
            </w:pPr>
            <w:r>
              <w:t>Gitxsan (Gitksan)</w:t>
            </w:r>
          </w:p>
        </w:tc>
        <w:tc>
          <w:tcPr>
            <w:tcW w:w="842" w:type="pct"/>
            <w:hideMark/>
          </w:tcPr>
          <w:p w14:paraId="1AC135D2" w14:textId="77777777" w:rsidR="006145A3" w:rsidRDefault="006145A3" w:rsidP="003E4CEC">
            <w:pPr>
              <w:pStyle w:val="TableCell"/>
            </w:pPr>
            <w:r>
              <w:t>1 285</w:t>
            </w:r>
          </w:p>
        </w:tc>
        <w:tc>
          <w:tcPr>
            <w:tcW w:w="2394" w:type="pct"/>
            <w:hideMark/>
          </w:tcPr>
          <w:p w14:paraId="013A87D1" w14:textId="77777777" w:rsidR="006145A3" w:rsidRDefault="006145A3" w:rsidP="003E4CEC">
            <w:pPr>
              <w:pStyle w:val="TableRow"/>
            </w:pPr>
            <w:r>
              <w:t>British Columbia (98.1%)</w:t>
            </w:r>
          </w:p>
        </w:tc>
      </w:tr>
      <w:tr w:rsidR="006145A3" w14:paraId="19D43908" w14:textId="77777777" w:rsidTr="003E4CEC">
        <w:tc>
          <w:tcPr>
            <w:tcW w:w="1764" w:type="pct"/>
            <w:shd w:val="clear" w:color="auto" w:fill="D9D9D9" w:themeFill="background1" w:themeFillShade="D9"/>
            <w:hideMark/>
          </w:tcPr>
          <w:p w14:paraId="6A87F94B" w14:textId="77777777" w:rsidR="006145A3" w:rsidRDefault="006145A3" w:rsidP="003E4CEC">
            <w:pPr>
              <w:pStyle w:val="TableRow"/>
            </w:pPr>
            <w:r>
              <w:t>Wakashan languages</w:t>
            </w:r>
          </w:p>
        </w:tc>
        <w:tc>
          <w:tcPr>
            <w:tcW w:w="842" w:type="pct"/>
            <w:shd w:val="clear" w:color="auto" w:fill="D9D9D9" w:themeFill="background1" w:themeFillShade="D9"/>
            <w:hideMark/>
          </w:tcPr>
          <w:p w14:paraId="7D73A016" w14:textId="77777777" w:rsidR="006145A3" w:rsidRDefault="006145A3" w:rsidP="003E4CEC">
            <w:pPr>
              <w:pStyle w:val="TableCell"/>
            </w:pPr>
            <w:r>
              <w:t>1 445</w:t>
            </w:r>
          </w:p>
        </w:tc>
        <w:tc>
          <w:tcPr>
            <w:tcW w:w="2394" w:type="pct"/>
            <w:shd w:val="clear" w:color="auto" w:fill="D9D9D9" w:themeFill="background1" w:themeFillShade="D9"/>
            <w:hideMark/>
          </w:tcPr>
          <w:p w14:paraId="57D17722" w14:textId="77777777" w:rsidR="006145A3" w:rsidRDefault="006145A3" w:rsidP="003E4CEC">
            <w:pPr>
              <w:pStyle w:val="TableRow"/>
            </w:pPr>
            <w:r>
              <w:t>British Columbia (98.6%)</w:t>
            </w:r>
          </w:p>
        </w:tc>
      </w:tr>
      <w:tr w:rsidR="006145A3" w14:paraId="02A3B6F4" w14:textId="77777777" w:rsidTr="003E4CEC">
        <w:tc>
          <w:tcPr>
            <w:tcW w:w="1764" w:type="pct"/>
            <w:hideMark/>
          </w:tcPr>
          <w:p w14:paraId="7D9CAE09" w14:textId="77777777" w:rsidR="006145A3" w:rsidRDefault="006145A3" w:rsidP="003E4CEC">
            <w:pPr>
              <w:pStyle w:val="TableRow"/>
            </w:pPr>
            <w:r>
              <w:t>Kwakiutl (Kwak'wala)</w:t>
            </w:r>
          </w:p>
        </w:tc>
        <w:tc>
          <w:tcPr>
            <w:tcW w:w="842" w:type="pct"/>
            <w:hideMark/>
          </w:tcPr>
          <w:p w14:paraId="7ECD9011" w14:textId="77777777" w:rsidR="006145A3" w:rsidRDefault="006145A3" w:rsidP="003E4CEC">
            <w:pPr>
              <w:pStyle w:val="TableCell"/>
            </w:pPr>
            <w:r>
              <w:t>585</w:t>
            </w:r>
          </w:p>
        </w:tc>
        <w:tc>
          <w:tcPr>
            <w:tcW w:w="2394" w:type="pct"/>
            <w:hideMark/>
          </w:tcPr>
          <w:p w14:paraId="2F1CE5AC" w14:textId="77777777" w:rsidR="006145A3" w:rsidRDefault="006145A3" w:rsidP="003E4CEC">
            <w:pPr>
              <w:pStyle w:val="TableRow"/>
            </w:pPr>
            <w:r>
              <w:t>British Columbia (98.3%)</w:t>
            </w:r>
          </w:p>
        </w:tc>
      </w:tr>
      <w:tr w:rsidR="006145A3" w14:paraId="3374EEDF" w14:textId="77777777" w:rsidTr="003E4CEC">
        <w:tc>
          <w:tcPr>
            <w:tcW w:w="1764" w:type="pct"/>
            <w:hideMark/>
          </w:tcPr>
          <w:p w14:paraId="5DAE5C58" w14:textId="77777777" w:rsidR="006145A3" w:rsidRDefault="006145A3" w:rsidP="003E4CEC">
            <w:pPr>
              <w:pStyle w:val="TableRow"/>
            </w:pPr>
            <w:r>
              <w:t>Michif</w:t>
            </w:r>
          </w:p>
        </w:tc>
        <w:tc>
          <w:tcPr>
            <w:tcW w:w="842" w:type="pct"/>
            <w:hideMark/>
          </w:tcPr>
          <w:p w14:paraId="05199489" w14:textId="77777777" w:rsidR="006145A3" w:rsidRDefault="006145A3" w:rsidP="003E4CEC">
            <w:pPr>
              <w:pStyle w:val="TableCell"/>
            </w:pPr>
            <w:r>
              <w:t>1 170</w:t>
            </w:r>
          </w:p>
        </w:tc>
        <w:tc>
          <w:tcPr>
            <w:tcW w:w="2394" w:type="pct"/>
            <w:hideMark/>
          </w:tcPr>
          <w:p w14:paraId="4163F9DA" w14:textId="77777777" w:rsidR="006145A3" w:rsidRDefault="006145A3" w:rsidP="003E4CEC">
            <w:pPr>
              <w:pStyle w:val="TableRow"/>
            </w:pPr>
            <w:r>
              <w:t>Saskatchewan (41.9%), Manitoba (17.5%)</w:t>
            </w:r>
          </w:p>
        </w:tc>
      </w:tr>
      <w:tr w:rsidR="006145A3" w14:paraId="7570B510" w14:textId="77777777" w:rsidTr="003E4CEC">
        <w:tc>
          <w:tcPr>
            <w:tcW w:w="1764" w:type="pct"/>
            <w:hideMark/>
          </w:tcPr>
          <w:p w14:paraId="27FCB036" w14:textId="77777777" w:rsidR="006145A3" w:rsidRDefault="006145A3" w:rsidP="003E4CEC">
            <w:pPr>
              <w:pStyle w:val="TableRow"/>
            </w:pPr>
            <w:r>
              <w:t>Haida</w:t>
            </w:r>
          </w:p>
        </w:tc>
        <w:tc>
          <w:tcPr>
            <w:tcW w:w="842" w:type="pct"/>
            <w:hideMark/>
          </w:tcPr>
          <w:p w14:paraId="2400E13C" w14:textId="77777777" w:rsidR="006145A3" w:rsidRDefault="006145A3" w:rsidP="003E4CEC">
            <w:pPr>
              <w:pStyle w:val="TableCell"/>
            </w:pPr>
            <w:r>
              <w:t>445</w:t>
            </w:r>
          </w:p>
        </w:tc>
        <w:tc>
          <w:tcPr>
            <w:tcW w:w="2394" w:type="pct"/>
            <w:hideMark/>
          </w:tcPr>
          <w:p w14:paraId="50CD7790" w14:textId="77777777" w:rsidR="006145A3" w:rsidRDefault="006145A3" w:rsidP="003E4CEC">
            <w:pPr>
              <w:pStyle w:val="TableRow"/>
            </w:pPr>
            <w:r>
              <w:t>British Columbia (98.9%)</w:t>
            </w:r>
          </w:p>
        </w:tc>
      </w:tr>
      <w:tr w:rsidR="006145A3" w14:paraId="41EC25F8" w14:textId="77777777" w:rsidTr="003E4CEC">
        <w:tc>
          <w:tcPr>
            <w:tcW w:w="1764" w:type="pct"/>
            <w:hideMark/>
          </w:tcPr>
          <w:p w14:paraId="7FDF1A46" w14:textId="77777777" w:rsidR="006145A3" w:rsidRDefault="006145A3" w:rsidP="003E4CEC">
            <w:pPr>
              <w:pStyle w:val="TableRow"/>
            </w:pPr>
            <w:r>
              <w:t>Tlingit</w:t>
            </w:r>
          </w:p>
        </w:tc>
        <w:tc>
          <w:tcPr>
            <w:tcW w:w="842" w:type="pct"/>
            <w:hideMark/>
          </w:tcPr>
          <w:p w14:paraId="2CFFEC30" w14:textId="77777777" w:rsidR="006145A3" w:rsidRDefault="006145A3" w:rsidP="003E4CEC">
            <w:pPr>
              <w:pStyle w:val="TableCell"/>
            </w:pPr>
            <w:r>
              <w:t>255</w:t>
            </w:r>
          </w:p>
        </w:tc>
        <w:tc>
          <w:tcPr>
            <w:tcW w:w="2394" w:type="pct"/>
            <w:hideMark/>
          </w:tcPr>
          <w:p w14:paraId="7114B18B" w14:textId="77777777" w:rsidR="006145A3" w:rsidRDefault="006145A3" w:rsidP="003E4CEC">
            <w:pPr>
              <w:pStyle w:val="TableRow"/>
            </w:pPr>
            <w:r>
              <w:t>Yukon (76.5%), British Columbia (21.6%)</w:t>
            </w:r>
          </w:p>
        </w:tc>
      </w:tr>
      <w:tr w:rsidR="006145A3" w14:paraId="455ACADE" w14:textId="77777777" w:rsidTr="003E4CEC">
        <w:tc>
          <w:tcPr>
            <w:tcW w:w="1764" w:type="pct"/>
            <w:hideMark/>
          </w:tcPr>
          <w:p w14:paraId="1B797A55" w14:textId="77777777" w:rsidR="006145A3" w:rsidRDefault="006145A3" w:rsidP="003E4CEC">
            <w:pPr>
              <w:pStyle w:val="TableRow"/>
            </w:pPr>
            <w:r>
              <w:t>Kutenai</w:t>
            </w:r>
          </w:p>
        </w:tc>
        <w:tc>
          <w:tcPr>
            <w:tcW w:w="842" w:type="pct"/>
            <w:hideMark/>
          </w:tcPr>
          <w:p w14:paraId="1E56BD30" w14:textId="77777777" w:rsidR="006145A3" w:rsidRDefault="006145A3" w:rsidP="003E4CEC">
            <w:pPr>
              <w:pStyle w:val="TableCell"/>
            </w:pPr>
            <w:r>
              <w:t>170</w:t>
            </w:r>
          </w:p>
        </w:tc>
        <w:tc>
          <w:tcPr>
            <w:tcW w:w="2394" w:type="pct"/>
            <w:hideMark/>
          </w:tcPr>
          <w:p w14:paraId="00A497A8" w14:textId="77777777" w:rsidR="006145A3" w:rsidRDefault="006145A3" w:rsidP="003E4CEC">
            <w:pPr>
              <w:pStyle w:val="TableRow"/>
            </w:pPr>
            <w:r>
              <w:t>British Columbia (100.0%)</w:t>
            </w:r>
          </w:p>
        </w:tc>
      </w:tr>
      <w:tr w:rsidR="006145A3" w14:paraId="58FA71BF" w14:textId="77777777" w:rsidTr="003E4CEC">
        <w:tc>
          <w:tcPr>
            <w:tcW w:w="1764" w:type="pct"/>
            <w:hideMark/>
          </w:tcPr>
          <w:p w14:paraId="47258163" w14:textId="77777777" w:rsidR="006145A3" w:rsidRDefault="006145A3" w:rsidP="003E4CEC">
            <w:pPr>
              <w:pStyle w:val="TableRow"/>
            </w:pPr>
            <w:r>
              <w:rPr>
                <w:b/>
                <w:bCs/>
              </w:rPr>
              <w:lastRenderedPageBreak/>
              <w:t>Total Aboriginal language speakers</w:t>
            </w:r>
          </w:p>
        </w:tc>
        <w:tc>
          <w:tcPr>
            <w:tcW w:w="842" w:type="pct"/>
            <w:hideMark/>
          </w:tcPr>
          <w:p w14:paraId="04E196FF" w14:textId="77777777" w:rsidR="006145A3" w:rsidRDefault="006145A3" w:rsidP="003E4CEC">
            <w:pPr>
              <w:pStyle w:val="TableCell"/>
            </w:pPr>
            <w:r>
              <w:t>260 550</w:t>
            </w:r>
          </w:p>
        </w:tc>
        <w:tc>
          <w:tcPr>
            <w:tcW w:w="2394" w:type="pct"/>
            <w:hideMark/>
          </w:tcPr>
          <w:p w14:paraId="5D6A7AEB" w14:textId="77777777" w:rsidR="006145A3" w:rsidRDefault="006145A3" w:rsidP="003E4CEC">
            <w:pPr>
              <w:pStyle w:val="TableRow"/>
            </w:pPr>
            <w:r>
              <w:t>Quebec (19.3%), Manitoba (15.5%), Saskatchewan (14.5%), Alberta (13.8%), Ontario (12.7%)</w:t>
            </w:r>
          </w:p>
        </w:tc>
      </w:tr>
    </w:tbl>
    <w:p w14:paraId="1AEA8734" w14:textId="77777777" w:rsidR="006145A3" w:rsidRPr="00E63160" w:rsidRDefault="006145A3" w:rsidP="006145A3">
      <w:pPr>
        <w:pStyle w:val="Sourcenotes"/>
      </w:pPr>
      <w:r w:rsidRPr="00E63160">
        <w:t>Note</w:t>
      </w:r>
      <w:r>
        <w:t>:</w:t>
      </w:r>
      <w:r w:rsidRPr="00E63160">
        <w:t xml:space="preserve"> Population numbers for languages within a language family do not add up to the total for the family because only the main languages are s</w:t>
      </w:r>
      <w:r>
        <w:t>hown. Main languages are the 10 </w:t>
      </w:r>
      <w:r w:rsidRPr="00E63160">
        <w:t>languages with the most speakers. If a language family did not have a language in the top</w:t>
      </w:r>
      <w:r>
        <w:t> </w:t>
      </w:r>
      <w:r w:rsidRPr="00E63160">
        <w:t>10, then the most spoken language in the family is displayed.</w:t>
      </w:r>
    </w:p>
    <w:p w14:paraId="32518F10" w14:textId="1C9EC364" w:rsidR="006145A3" w:rsidRPr="00E63160" w:rsidRDefault="006145A3" w:rsidP="006145A3">
      <w:pPr>
        <w:pStyle w:val="Sourcenotes"/>
      </w:pPr>
      <w:r w:rsidRPr="00134D0D">
        <w:t xml:space="preserve">Source: </w:t>
      </w:r>
      <w:sdt>
        <w:sdtPr>
          <w:id w:val="-1380084115"/>
          <w:citation/>
        </w:sdtPr>
        <w:sdtEndPr/>
        <w:sdtContent>
          <w:r w:rsidRPr="00134D0D">
            <w:fldChar w:fldCharType="begin"/>
          </w:r>
          <w:r w:rsidR="00092C37">
            <w:instrText xml:space="preserve">CITATION Sta16 \l 2057 </w:instrText>
          </w:r>
          <w:r w:rsidRPr="00134D0D">
            <w:fldChar w:fldCharType="separate"/>
          </w:r>
          <w:r w:rsidR="00092C37" w:rsidRPr="00092C37">
            <w:rPr>
              <w:noProof/>
            </w:rPr>
            <w:t>(</w:t>
          </w:r>
          <w:bookmarkStart w:id="37" w:name="Sta16_18"/>
          <w:r w:rsidR="00092C37" w:rsidRPr="00092C37">
            <w:rPr>
              <w:noProof/>
            </w:rPr>
            <w:t>Statistics Canada, 2016</w:t>
          </w:r>
          <w:r w:rsidR="00092C37" w:rsidRPr="00092C37">
            <w:rPr>
              <w:noProof/>
              <w:vertAlign w:val="subscript"/>
            </w:rPr>
            <w:t>[18]</w:t>
          </w:r>
          <w:r w:rsidR="00092C37" w:rsidRPr="00092C37">
            <w:rPr>
              <w:noProof/>
            </w:rPr>
            <w:t>)</w:t>
          </w:r>
          <w:bookmarkEnd w:id="37"/>
          <w:r w:rsidRPr="00134D0D">
            <w:fldChar w:fldCharType="end"/>
          </w:r>
        </w:sdtContent>
      </w:sdt>
      <w:r w:rsidRPr="00134D0D">
        <w:t>, Table 1, p. 2</w:t>
      </w:r>
    </w:p>
    <w:bookmarkEnd w:id="35"/>
    <w:bookmarkEnd w:id="36"/>
    <w:p w14:paraId="7DEA22FD" w14:textId="77777777" w:rsidR="006145A3" w:rsidRPr="00121587" w:rsidRDefault="006145A3" w:rsidP="006145A3">
      <w:pPr>
        <w:pStyle w:val="Para0"/>
        <w:rPr>
          <w:lang w:val="en-US"/>
        </w:rPr>
      </w:pPr>
    </w:p>
    <w:p w14:paraId="1A4D3D5F" w14:textId="77777777" w:rsidR="006145A3" w:rsidRDefault="006145A3" w:rsidP="006145A3">
      <w:pPr>
        <w:pStyle w:val="Heading1"/>
        <w:framePr w:w="11615" w:wrap="notBeside" w:x="1276"/>
        <w:numPr>
          <w:ilvl w:val="0"/>
          <w:numId w:val="22"/>
        </w:numPr>
        <w:ind w:left="1077" w:hanging="964"/>
      </w:pPr>
      <w:bookmarkStart w:id="38" w:name="_Toc95824096"/>
      <w:r w:rsidRPr="00121587">
        <w:lastRenderedPageBreak/>
        <w:t>Access to Indigenous languages benefits students, families and communities</w:t>
      </w:r>
      <w:bookmarkEnd w:id="38"/>
    </w:p>
    <w:p w14:paraId="203829EC" w14:textId="77777777" w:rsidR="006145A3" w:rsidRPr="00121587" w:rsidRDefault="006145A3" w:rsidP="006145A3">
      <w:pPr>
        <w:pStyle w:val="Para0"/>
      </w:pPr>
      <w:r w:rsidRPr="00121587">
        <w:t>Providing access to strengthening Indigenous languages leads to many benefits for Indigenous students and their families and communities, as well as non-Indigenous students and communities. These benefits include: progress towards redress and reconciliation; the transmission of Indigenous knowledges to Indigenous children and youth, as well as wider community members; strengthened cultural identity, well-being and resilience; and improved education outcomes, such as increased retention and achievement rates. This section outlines these benefits for Indigenous students and their families and communities.</w:t>
      </w:r>
    </w:p>
    <w:p w14:paraId="25AD165B" w14:textId="77777777" w:rsidR="006145A3" w:rsidRPr="00231325" w:rsidRDefault="006145A3" w:rsidP="006145A3">
      <w:pPr>
        <w:pStyle w:val="Heading2"/>
        <w:numPr>
          <w:ilvl w:val="1"/>
          <w:numId w:val="22"/>
        </w:numPr>
      </w:pPr>
      <w:bookmarkStart w:id="39" w:name="_Toc82093558"/>
      <w:bookmarkStart w:id="40" w:name="_Toc95824097"/>
      <w:r>
        <w:t>R</w:t>
      </w:r>
      <w:r w:rsidRPr="00231325">
        <w:t xml:space="preserve">edress and </w:t>
      </w:r>
      <w:r w:rsidRPr="00121587">
        <w:t>reconciliation</w:t>
      </w:r>
      <w:bookmarkEnd w:id="39"/>
      <w:bookmarkEnd w:id="40"/>
    </w:p>
    <w:p w14:paraId="7C3F6FCE" w14:textId="608DB287" w:rsidR="006145A3" w:rsidRPr="00121587" w:rsidRDefault="006145A3" w:rsidP="006145A3">
      <w:pPr>
        <w:pStyle w:val="Para0"/>
      </w:pPr>
      <w:r w:rsidRPr="00121587">
        <w:t xml:space="preserve">The importance of Indigenous languages for Indigenous students, their families and </w:t>
      </w:r>
      <w:r w:rsidR="004B640C">
        <w:t>their communities cannot be over</w:t>
      </w:r>
      <w:r w:rsidRPr="00121587">
        <w:t>estimated. Indigenous languages programmes constitute a recognition of the enduring linguistic and cultural identity of Indigenou</w:t>
      </w:r>
      <w:r>
        <w:t>s peoples. This is “common ground”</w:t>
      </w:r>
      <w:r w:rsidRPr="00121587">
        <w:t xml:space="preserve"> between Indigenous peoples and their languages, across the jurisdictions of Aotearoa New</w:t>
      </w:r>
      <w:r>
        <w:t> </w:t>
      </w:r>
      <w:r w:rsidRPr="00121587">
        <w:t xml:space="preserve">Zealand, Australia and Canada and from an international perspective. </w:t>
      </w:r>
    </w:p>
    <w:p w14:paraId="28B12E5E" w14:textId="77777777" w:rsidR="006145A3" w:rsidRPr="00121587" w:rsidRDefault="006145A3" w:rsidP="006145A3">
      <w:pPr>
        <w:pStyle w:val="Para0"/>
      </w:pPr>
      <w:r w:rsidRPr="00121587">
        <w:t>The inclusion of Indigenous languages in education is a step towards redressing past exclusionary practices in schooling when speaking Indigenous languages was banned or devalued. Education systems in Australia, Canada and New</w:t>
      </w:r>
      <w:r>
        <w:t> </w:t>
      </w:r>
      <w:r w:rsidRPr="00121587">
        <w:t xml:space="preserve">Zealand have historically all excluded Indigenous languages to some extent. </w:t>
      </w:r>
    </w:p>
    <w:p w14:paraId="304CA1CB" w14:textId="77777777" w:rsidR="006145A3" w:rsidRPr="00121587" w:rsidRDefault="006145A3" w:rsidP="006145A3">
      <w:pPr>
        <w:pStyle w:val="Para0"/>
      </w:pPr>
      <w:r w:rsidRPr="00121587">
        <w:t>These same education systems have also, historically, struggled to acknowledge, understand and include Indigenous peoples' self-identified educational aspirations. Until relatively recently, education in these nation states has largely been a vehicle for promulgating settler-colonial knowledges whilst devaluing the knowledges of Indigenous populations, including their languages.</w:t>
      </w:r>
    </w:p>
    <w:p w14:paraId="06E7B3D4" w14:textId="77777777" w:rsidR="006145A3" w:rsidRPr="00121587" w:rsidRDefault="006145A3" w:rsidP="006145A3">
      <w:pPr>
        <w:pStyle w:val="Para0"/>
      </w:pPr>
      <w:r w:rsidRPr="00121587">
        <w:t xml:space="preserve">Supporting Indigenous peoples' wishes for their languages in education promotes reconciliation between Indigenous peoples, government institutions and other social groups. It provides opportunities for building Indigenous peoples' trust in education systems by engaging with their own educational aspirations. </w:t>
      </w:r>
    </w:p>
    <w:p w14:paraId="01EA7FA5" w14:textId="77777777" w:rsidR="006145A3" w:rsidRPr="00121587" w:rsidRDefault="006145A3" w:rsidP="006145A3">
      <w:pPr>
        <w:pStyle w:val="Para0"/>
      </w:pPr>
      <w:r w:rsidRPr="00121587">
        <w:t>The effects of excluding Indigenous languages from education have been well documented in each jurisdiction, and roundly condemned at an official level. The enquiry conducted by the Truth and Reconciliation Commission into Canada's residential schools took evidence from more than 6</w:t>
      </w:r>
      <w:r>
        <w:t> 000 </w:t>
      </w:r>
      <w:r w:rsidRPr="00121587">
        <w:t xml:space="preserve">witnesses, mostly survivors of experiences in these schools, and described the education practices and the broader social practices supporting them, as cultural genocide: </w:t>
      </w:r>
    </w:p>
    <w:p w14:paraId="1C2F9630" w14:textId="77777777" w:rsidR="006145A3" w:rsidRPr="00EB5076" w:rsidRDefault="006145A3" w:rsidP="006145A3">
      <w:pPr>
        <w:pStyle w:val="Quote"/>
      </w:pPr>
      <w:r w:rsidRPr="00EB5076">
        <w:t xml:space="preserve">Cultural genocide is the destruction of those structures and practices that allow the group to continue as a group. States that engage in cultural genocide set out to destroy the political and social institutions of the targeted group. Land is seized, and populations are forcibly transferred and their movement is restricted. Languages are banned. Spiritual leaders are persecuted, spiritual practices are forbidden, and objects of spiritual value are confiscated and destroyed. And, most significantly to the issue at hand, families are disrupted to prevent the transmission of cultural values and identity from one generation to the next. In its dealing with Aboriginal people, Canada did all these things. </w:t>
      </w:r>
    </w:p>
    <w:p w14:paraId="68A18096" w14:textId="02FE5701" w:rsidR="006145A3" w:rsidRPr="00EB5076" w:rsidRDefault="008D0BBE" w:rsidP="006145A3">
      <w:pPr>
        <w:pStyle w:val="Quote"/>
      </w:pPr>
      <w:sdt>
        <w:sdtPr>
          <w:id w:val="1396711742"/>
          <w:citation/>
        </w:sdtPr>
        <w:sdtEndPr/>
        <w:sdtContent>
          <w:r w:rsidR="00092C37">
            <w:fldChar w:fldCharType="begin"/>
          </w:r>
          <w:r w:rsidR="00092C37">
            <w:instrText xml:space="preserve">CITATION Can15 \p 1 \l 2057 </w:instrText>
          </w:r>
          <w:r w:rsidR="00092C37">
            <w:fldChar w:fldCharType="separate"/>
          </w:r>
          <w:r w:rsidR="00092C37" w:rsidRPr="00092C37">
            <w:rPr>
              <w:noProof/>
            </w:rPr>
            <w:t>(Truth and Reconciliation Commission of Canada, 2015, p. 1</w:t>
          </w:r>
          <w:r w:rsidR="00092C37" w:rsidRPr="00092C37">
            <w:rPr>
              <w:noProof/>
              <w:vertAlign w:val="subscript"/>
            </w:rPr>
            <w:t>[17]</w:t>
          </w:r>
          <w:r w:rsidR="00092C37" w:rsidRPr="00092C37">
            <w:rPr>
              <w:noProof/>
            </w:rPr>
            <w:t>)</w:t>
          </w:r>
          <w:r w:rsidR="00092C37">
            <w:fldChar w:fldCharType="end"/>
          </w:r>
        </w:sdtContent>
      </w:sdt>
    </w:p>
    <w:p w14:paraId="16CEE079" w14:textId="03212776" w:rsidR="006145A3" w:rsidRPr="009A29F0" w:rsidRDefault="006145A3" w:rsidP="006145A3">
      <w:pPr>
        <w:pStyle w:val="Para0"/>
      </w:pPr>
      <w:r>
        <w:t>On these grounds, the “calls to action”</w:t>
      </w:r>
      <w:r w:rsidRPr="00824FAF">
        <w:t xml:space="preserve"> published by the Truth and Reconciliation Commission </w:t>
      </w:r>
      <w:sdt>
        <w:sdtPr>
          <w:id w:val="-2040353555"/>
          <w:citation/>
        </w:sdtPr>
        <w:sdtEndPr/>
        <w:sdtContent>
          <w:r w:rsidR="00092C37">
            <w:fldChar w:fldCharType="begin"/>
          </w:r>
          <w:r w:rsidR="00092C37">
            <w:instrText xml:space="preserve">CITATION Tru151 \l 2057 </w:instrText>
          </w:r>
          <w:r w:rsidR="00092C37">
            <w:fldChar w:fldCharType="separate"/>
          </w:r>
          <w:r w:rsidR="00092C37" w:rsidRPr="00092C37">
            <w:rPr>
              <w:noProof/>
            </w:rPr>
            <w:t>(</w:t>
          </w:r>
          <w:bookmarkStart w:id="41" w:name="Tru151_19"/>
          <w:r w:rsidR="00092C37" w:rsidRPr="00092C37">
            <w:rPr>
              <w:noProof/>
            </w:rPr>
            <w:t>Truth and Reconciliation Commission of Canada, 2015</w:t>
          </w:r>
          <w:r w:rsidR="00092C37" w:rsidRPr="00092C37">
            <w:rPr>
              <w:noProof/>
              <w:vertAlign w:val="subscript"/>
            </w:rPr>
            <w:t>[19]</w:t>
          </w:r>
          <w:r w:rsidR="00092C37" w:rsidRPr="00092C37">
            <w:rPr>
              <w:noProof/>
            </w:rPr>
            <w:t>)</w:t>
          </w:r>
          <w:bookmarkEnd w:id="41"/>
          <w:r w:rsidR="00092C37">
            <w:fldChar w:fldCharType="end"/>
          </w:r>
        </w:sdtContent>
      </w:sdt>
      <w:r w:rsidRPr="00824FAF">
        <w:t xml:space="preserve"> include recommendations that specifically</w:t>
      </w:r>
      <w:r w:rsidRPr="00824FAF">
        <w:rPr>
          <w:b/>
          <w:bCs/>
        </w:rPr>
        <w:t xml:space="preserve"> </w:t>
      </w:r>
      <w:r w:rsidRPr="009A29F0">
        <w:t xml:space="preserve">target Indigenous languages in education (recommendations 10, 13, 14, 15, 16, 17). </w:t>
      </w:r>
    </w:p>
    <w:p w14:paraId="19863D9A" w14:textId="77777777" w:rsidR="006145A3" w:rsidRPr="00824FAF" w:rsidRDefault="006145A3" w:rsidP="006145A3">
      <w:pPr>
        <w:pStyle w:val="Para0"/>
      </w:pPr>
      <w:r w:rsidRPr="009A29F0">
        <w:t xml:space="preserve">Likewise, the </w:t>
      </w:r>
      <w:r w:rsidRPr="009A29F0">
        <w:rPr>
          <w:i/>
        </w:rPr>
        <w:t>Bringing Them Home</w:t>
      </w:r>
      <w:r w:rsidRPr="009A29F0">
        <w:t xml:space="preserve"> report from the 1997 Australian </w:t>
      </w:r>
      <w:r w:rsidRPr="009A29F0">
        <w:rPr>
          <w:iCs/>
        </w:rPr>
        <w:t xml:space="preserve">Human Rights and Equal Opportunity Commission’s </w:t>
      </w:r>
      <w:r w:rsidRPr="009A29F0">
        <w:t>National Inquiry into the Separation of Aboriginal and Torres Strait Islander Children from their Families found that suppressing Indigenous children's languages was purposefully and intentionally assimilationist, affecting</w:t>
      </w:r>
      <w:r w:rsidRPr="00824FAF">
        <w:t xml:space="preserve"> the individual's sense of identity and impacting inter</w:t>
      </w:r>
      <w:r>
        <w:t>-</w:t>
      </w:r>
      <w:r w:rsidRPr="00824FAF">
        <w:t xml:space="preserve">generationally: </w:t>
      </w:r>
    </w:p>
    <w:p w14:paraId="4DF606E6" w14:textId="77777777" w:rsidR="006145A3" w:rsidRPr="00824FAF" w:rsidRDefault="006145A3" w:rsidP="006145A3">
      <w:pPr>
        <w:pStyle w:val="Quote"/>
      </w:pPr>
      <w:r w:rsidRPr="00824FAF">
        <w:t xml:space="preserve">The significance of Indigenous languages to the maintenance of family relations and the preservation and transmission of cultures was not lost on missionaries and protectors. The speaking of languages was frequently prohibited […] The loss of language is intimately connected with the loss of identity for those forcibly removed and their descendants. </w:t>
      </w:r>
    </w:p>
    <w:p w14:paraId="72738A1B" w14:textId="77777777" w:rsidR="006145A3" w:rsidRPr="00824FAF" w:rsidRDefault="008D0BBE" w:rsidP="006145A3">
      <w:pPr>
        <w:pStyle w:val="Quote"/>
      </w:pPr>
      <w:sdt>
        <w:sdtPr>
          <w:id w:val="615726135"/>
          <w:citation/>
        </w:sdtPr>
        <w:sdtEndPr/>
        <w:sdtContent>
          <w:r w:rsidR="006145A3">
            <w:fldChar w:fldCharType="begin"/>
          </w:r>
          <w:r w:rsidR="006145A3">
            <w:instrText xml:space="preserve">CITATION COm97 \l 2057 </w:instrText>
          </w:r>
          <w:r w:rsidR="006145A3">
            <w:fldChar w:fldCharType="separate"/>
          </w:r>
          <w:r w:rsidR="006145A3" w:rsidRPr="00134D0D">
            <w:rPr>
              <w:noProof/>
            </w:rPr>
            <w:t>(</w:t>
          </w:r>
          <w:bookmarkStart w:id="42" w:name="COm97_18"/>
          <w:r w:rsidR="006145A3" w:rsidRPr="00134D0D">
            <w:rPr>
              <w:noProof/>
            </w:rPr>
            <w:t>Human Rights and Equal Opportunity Commission, 1997</w:t>
          </w:r>
          <w:r w:rsidR="006145A3" w:rsidRPr="00134D0D">
            <w:rPr>
              <w:noProof/>
              <w:vertAlign w:val="subscript"/>
            </w:rPr>
            <w:t>[18]</w:t>
          </w:r>
          <w:r w:rsidR="006145A3" w:rsidRPr="00134D0D">
            <w:rPr>
              <w:noProof/>
            </w:rPr>
            <w:t>)</w:t>
          </w:r>
          <w:bookmarkEnd w:id="42"/>
          <w:r w:rsidR="006145A3">
            <w:fldChar w:fldCharType="end"/>
          </w:r>
        </w:sdtContent>
      </w:sdt>
    </w:p>
    <w:p w14:paraId="558624DE" w14:textId="77777777" w:rsidR="006145A3" w:rsidRPr="009A29F0" w:rsidRDefault="006145A3" w:rsidP="006145A3">
      <w:pPr>
        <w:pStyle w:val="Para0"/>
      </w:pPr>
      <w:r w:rsidRPr="00824FAF">
        <w:t xml:space="preserve">The national Apology delivered by the Australian Prime Minister </w:t>
      </w:r>
      <w:bookmarkStart w:id="43" w:name="__Fieldmark__2198_224565148"/>
      <w:r w:rsidRPr="00824FAF">
        <w:t xml:space="preserve">Rudd </w:t>
      </w:r>
      <w:sdt>
        <w:sdtPr>
          <w:id w:val="-903059261"/>
          <w:citation/>
        </w:sdtPr>
        <w:sdtEndPr/>
        <w:sdtContent>
          <w:r>
            <w:fldChar w:fldCharType="begin"/>
          </w:r>
          <w:r>
            <w:instrText xml:space="preserve">CITATION Rud08 \n  \l 2057 </w:instrText>
          </w:r>
          <w:r>
            <w:fldChar w:fldCharType="separate"/>
          </w:r>
          <w:r w:rsidRPr="00134D0D">
            <w:rPr>
              <w:noProof/>
            </w:rPr>
            <w:t>(2008</w:t>
          </w:r>
          <w:r w:rsidRPr="00134D0D">
            <w:rPr>
              <w:noProof/>
              <w:vertAlign w:val="subscript"/>
            </w:rPr>
            <w:t>[19]</w:t>
          </w:r>
          <w:r w:rsidRPr="00134D0D">
            <w:rPr>
              <w:noProof/>
            </w:rPr>
            <w:t>)</w:t>
          </w:r>
          <w:r>
            <w:fldChar w:fldCharType="end"/>
          </w:r>
        </w:sdtContent>
      </w:sdt>
      <w:bookmarkEnd w:id="43"/>
      <w:r w:rsidRPr="00824FAF">
        <w:t xml:space="preserve"> to the Stolen Generations –</w:t>
      </w:r>
      <w:r>
        <w:t xml:space="preserve"> </w:t>
      </w:r>
      <w:r w:rsidRPr="00824FAF">
        <w:t>those Aboriginal and Torres Strait Islander people who had been removed from their families by the State to institutions or foster care</w:t>
      </w:r>
      <w:r>
        <w:t xml:space="preserve"> </w:t>
      </w:r>
      <w:r w:rsidRPr="00824FAF">
        <w:t>– recognise</w:t>
      </w:r>
      <w:r>
        <w:t>d</w:t>
      </w:r>
      <w:r w:rsidRPr="00824FAF">
        <w:t xml:space="preserve"> the need to </w:t>
      </w:r>
      <w:r w:rsidRPr="009A29F0">
        <w:t>acknowledge historical injustices in order to move forward together:</w:t>
      </w:r>
    </w:p>
    <w:p w14:paraId="16414A9E" w14:textId="77777777" w:rsidR="006145A3" w:rsidRPr="00EB5076" w:rsidRDefault="006145A3" w:rsidP="006145A3">
      <w:pPr>
        <w:pStyle w:val="Quote"/>
      </w:pPr>
      <w:r w:rsidRPr="00EB5076">
        <w:t>We the Parliament of Australia respectfully request that this apology be received in the spirit in which it is offered as part of the healing of the nation. For the future we take heart; resolving that this new page in the history of our great continent can now be written. We today take this first step by acknowledging the past and laying claim to a future that embraces all Australians. A future where this Parliament resolves that the injustices of the past must never, never happen again.</w:t>
      </w:r>
    </w:p>
    <w:bookmarkStart w:id="44" w:name="__Fieldmark__2212_224565148"/>
    <w:p w14:paraId="61D84D70" w14:textId="77777777" w:rsidR="006145A3" w:rsidRPr="00EB5076" w:rsidRDefault="008D0BBE" w:rsidP="006145A3">
      <w:pPr>
        <w:pStyle w:val="Quote"/>
      </w:pPr>
      <w:sdt>
        <w:sdtPr>
          <w:id w:val="38798788"/>
          <w:citation/>
        </w:sdtPr>
        <w:sdtEndPr/>
        <w:sdtContent>
          <w:r w:rsidR="006145A3">
            <w:fldChar w:fldCharType="begin"/>
          </w:r>
          <w:r w:rsidR="006145A3">
            <w:instrText xml:space="preserve"> CITATION Rud08 \l 2057 </w:instrText>
          </w:r>
          <w:r w:rsidR="006145A3">
            <w:fldChar w:fldCharType="separate"/>
          </w:r>
          <w:r w:rsidR="006145A3" w:rsidRPr="00134D0D">
            <w:rPr>
              <w:noProof/>
            </w:rPr>
            <w:t>(</w:t>
          </w:r>
          <w:bookmarkStart w:id="45" w:name="Rud08_19"/>
          <w:r w:rsidR="006145A3" w:rsidRPr="00134D0D">
            <w:rPr>
              <w:noProof/>
            </w:rPr>
            <w:t>Rudd, 2008</w:t>
          </w:r>
          <w:r w:rsidR="006145A3" w:rsidRPr="00134D0D">
            <w:rPr>
              <w:noProof/>
              <w:vertAlign w:val="subscript"/>
            </w:rPr>
            <w:t>[19]</w:t>
          </w:r>
          <w:r w:rsidR="006145A3" w:rsidRPr="00134D0D">
            <w:rPr>
              <w:noProof/>
            </w:rPr>
            <w:t>)</w:t>
          </w:r>
          <w:bookmarkEnd w:id="45"/>
          <w:r w:rsidR="006145A3">
            <w:fldChar w:fldCharType="end"/>
          </w:r>
        </w:sdtContent>
      </w:sdt>
      <w:bookmarkEnd w:id="44"/>
    </w:p>
    <w:p w14:paraId="421FAAD0" w14:textId="77777777" w:rsidR="006145A3" w:rsidRPr="009A29F0" w:rsidRDefault="006145A3" w:rsidP="006145A3">
      <w:pPr>
        <w:pStyle w:val="Para0"/>
      </w:pPr>
      <w:r w:rsidRPr="009A29F0">
        <w:t>The Waitangi Tribunal in Aotearoa New</w:t>
      </w:r>
      <w:r>
        <w:t> </w:t>
      </w:r>
      <w:r w:rsidRPr="009A29F0">
        <w:t xml:space="preserve">Zealand </w:t>
      </w:r>
      <w:r>
        <w:t>stated</w:t>
      </w:r>
      <w:r w:rsidRPr="009A29F0">
        <w:t xml:space="preserve"> in 1986 that </w:t>
      </w:r>
      <w:r w:rsidRPr="009A29F0">
        <w:rPr>
          <w:i/>
          <w:iCs/>
        </w:rPr>
        <w:t>te reo Māori</w:t>
      </w:r>
      <w:r>
        <w:t xml:space="preserve"> “</w:t>
      </w:r>
      <w:r w:rsidRPr="009A29F0">
        <w:t>the Māori language</w:t>
      </w:r>
      <w:r>
        <w:t>”</w:t>
      </w:r>
      <w:r w:rsidRPr="009A29F0">
        <w:t xml:space="preserve"> was indeed a </w:t>
      </w:r>
      <w:r w:rsidRPr="009A29F0">
        <w:rPr>
          <w:i/>
        </w:rPr>
        <w:t>taonga</w:t>
      </w:r>
      <w:r w:rsidRPr="009A29F0">
        <w:t xml:space="preserve"> </w:t>
      </w:r>
      <w:r>
        <w:t>“</w:t>
      </w:r>
      <w:r w:rsidRPr="009A29F0">
        <w:t>treasure</w:t>
      </w:r>
      <w:r>
        <w:t>”</w:t>
      </w:r>
      <w:r w:rsidRPr="009A29F0">
        <w:t xml:space="preserve"> that the Crown had failed to protect. The Waitangi Tribunal drew its conclusion from the Crown's failure on the basis of evidence about the systematic banning of the Māori language and punishment of children for the use of Māori in education settings:</w:t>
      </w:r>
    </w:p>
    <w:p w14:paraId="53E8C155" w14:textId="77777777" w:rsidR="006145A3" w:rsidRPr="00EB5076" w:rsidRDefault="006145A3" w:rsidP="006145A3">
      <w:pPr>
        <w:pStyle w:val="Quote"/>
      </w:pPr>
      <w:r w:rsidRPr="00EB5076">
        <w:t xml:space="preserve">We have recorded much of what we were told of the effect upon Māori children of our educational policy and it makes dismal reading. </w:t>
      </w:r>
    </w:p>
    <w:p w14:paraId="234DB691" w14:textId="135B1AF9" w:rsidR="006145A3" w:rsidRPr="00EB5076" w:rsidRDefault="008D0BBE" w:rsidP="006145A3">
      <w:pPr>
        <w:pStyle w:val="Quote"/>
      </w:pPr>
      <w:sdt>
        <w:sdtPr>
          <w:id w:val="318318653"/>
          <w:citation/>
        </w:sdtPr>
        <w:sdtEndPr/>
        <w:sdtContent>
          <w:r w:rsidR="006145A3">
            <w:fldChar w:fldCharType="begin"/>
          </w:r>
          <w:r w:rsidR="00092C37">
            <w:instrText xml:space="preserve">CITATION Wai86 \l 2057 </w:instrText>
          </w:r>
          <w:r w:rsidR="006145A3">
            <w:fldChar w:fldCharType="separate"/>
          </w:r>
          <w:r w:rsidR="00092C37" w:rsidRPr="00092C37">
            <w:rPr>
              <w:noProof/>
            </w:rPr>
            <w:t>(Waitangi Tribunal, 1986</w:t>
          </w:r>
          <w:r w:rsidR="00092C37" w:rsidRPr="00092C37">
            <w:rPr>
              <w:noProof/>
              <w:vertAlign w:val="subscript"/>
            </w:rPr>
            <w:t>[22]</w:t>
          </w:r>
          <w:r w:rsidR="00092C37" w:rsidRPr="00092C37">
            <w:rPr>
              <w:noProof/>
            </w:rPr>
            <w:t>)</w:t>
          </w:r>
          <w:r w:rsidR="006145A3">
            <w:fldChar w:fldCharType="end"/>
          </w:r>
        </w:sdtContent>
      </w:sdt>
    </w:p>
    <w:p w14:paraId="7761A699" w14:textId="77777777" w:rsidR="006145A3" w:rsidRPr="009A29F0" w:rsidRDefault="006145A3" w:rsidP="006145A3">
      <w:pPr>
        <w:pStyle w:val="Para0"/>
      </w:pPr>
      <w:r w:rsidRPr="009A29F0">
        <w:t>The vision of the Waitangi Tribunal was that legislation would require the government to actively promote and value the use of the Māori language for its benefits to Māori children's sense of identity and pride in their culture as well as its intrinsic aesthetic and cultural worth and as</w:t>
      </w:r>
      <w:r w:rsidRPr="00824FAF">
        <w:t xml:space="preserve"> a point of </w:t>
      </w:r>
      <w:r w:rsidRPr="009A29F0">
        <w:t>national cohesion and pride:</w:t>
      </w:r>
    </w:p>
    <w:p w14:paraId="7841382F" w14:textId="77777777" w:rsidR="006145A3" w:rsidRPr="00EB5076" w:rsidRDefault="006145A3" w:rsidP="006145A3">
      <w:pPr>
        <w:pStyle w:val="Quote"/>
      </w:pPr>
      <w:r w:rsidRPr="00EB5076">
        <w:t xml:space="preserve">[…] it should be an act that publicly demonstrates that preservation of the Māori language is important to all of us, Māori and </w:t>
      </w:r>
      <w:r w:rsidRPr="00197744">
        <w:rPr>
          <w:i w:val="0"/>
        </w:rPr>
        <w:t>pakeha</w:t>
      </w:r>
      <w:r w:rsidRPr="00EB5076">
        <w:t xml:space="preserve"> [non-Māori] alike. it should be an act that restores proper status to the Māori language as something valuable that we acknowledge to be valuable. it should be an act that puts the language, and therefore the culture, onto a pedestal so that our children will see 'being Māori' as something to be proud of, not something to be treated as worthless […] </w:t>
      </w:r>
    </w:p>
    <w:p w14:paraId="791565F9" w14:textId="4B405519" w:rsidR="006145A3" w:rsidRPr="00EB5076" w:rsidRDefault="008D0BBE" w:rsidP="006145A3">
      <w:pPr>
        <w:pStyle w:val="Quote"/>
      </w:pPr>
      <w:sdt>
        <w:sdtPr>
          <w:id w:val="768662894"/>
          <w:citation/>
        </w:sdtPr>
        <w:sdtEndPr/>
        <w:sdtContent>
          <w:r w:rsidR="006145A3">
            <w:fldChar w:fldCharType="begin"/>
          </w:r>
          <w:r w:rsidR="00092C37">
            <w:instrText xml:space="preserve">CITATION Wai86 \l 2057 </w:instrText>
          </w:r>
          <w:r w:rsidR="006145A3">
            <w:fldChar w:fldCharType="separate"/>
          </w:r>
          <w:r w:rsidR="00092C37" w:rsidRPr="00092C37">
            <w:rPr>
              <w:noProof/>
            </w:rPr>
            <w:t>(</w:t>
          </w:r>
          <w:bookmarkStart w:id="46" w:name="Wai86_22"/>
          <w:r w:rsidR="00092C37" w:rsidRPr="00092C37">
            <w:rPr>
              <w:noProof/>
            </w:rPr>
            <w:t>Waitangi Tribunal, 1986</w:t>
          </w:r>
          <w:r w:rsidR="00092C37" w:rsidRPr="00092C37">
            <w:rPr>
              <w:noProof/>
              <w:vertAlign w:val="subscript"/>
            </w:rPr>
            <w:t>[22]</w:t>
          </w:r>
          <w:r w:rsidR="00092C37" w:rsidRPr="00092C37">
            <w:rPr>
              <w:noProof/>
            </w:rPr>
            <w:t>)</w:t>
          </w:r>
          <w:bookmarkEnd w:id="46"/>
          <w:r w:rsidR="006145A3">
            <w:fldChar w:fldCharType="end"/>
          </w:r>
        </w:sdtContent>
      </w:sdt>
    </w:p>
    <w:p w14:paraId="44F5E7E2" w14:textId="77777777" w:rsidR="006145A3" w:rsidRPr="009A29F0" w:rsidRDefault="006145A3" w:rsidP="006145A3">
      <w:pPr>
        <w:pStyle w:val="Para0"/>
      </w:pPr>
      <w:r w:rsidRPr="009A29F0">
        <w:t xml:space="preserve">In all jurisdictions, governments and education institutions have </w:t>
      </w:r>
      <w:r>
        <w:t xml:space="preserve">now </w:t>
      </w:r>
      <w:r w:rsidRPr="009A29F0">
        <w:t>rejected the outright suppression of Indigenous languages, which was often a feature of their colonial pasts. Section</w:t>
      </w:r>
      <w:r>
        <w:t> </w:t>
      </w:r>
      <w:r w:rsidRPr="009A29F0">
        <w:t xml:space="preserve">4 outlines legislation and policy progress in different jurisdictions </w:t>
      </w:r>
      <w:r>
        <w:t>that</w:t>
      </w:r>
      <w:r w:rsidRPr="009A29F0">
        <w:t xml:space="preserve"> actively supports </w:t>
      </w:r>
      <w:r>
        <w:t xml:space="preserve">access to and strengthening of </w:t>
      </w:r>
      <w:r w:rsidRPr="009A29F0">
        <w:t xml:space="preserve">Indigenous languages. </w:t>
      </w:r>
    </w:p>
    <w:p w14:paraId="28CDAEA2" w14:textId="77777777" w:rsidR="006145A3" w:rsidRPr="00231325" w:rsidRDefault="006145A3" w:rsidP="006145A3">
      <w:pPr>
        <w:pStyle w:val="Heading2"/>
        <w:numPr>
          <w:ilvl w:val="1"/>
          <w:numId w:val="22"/>
        </w:numPr>
      </w:pPr>
      <w:bookmarkStart w:id="47" w:name="_Ref39052808"/>
      <w:bookmarkStart w:id="48" w:name="_Toc82093559"/>
      <w:bookmarkStart w:id="49" w:name="_Toc95824098"/>
      <w:r w:rsidRPr="00EB5076">
        <w:lastRenderedPageBreak/>
        <w:t>Transmission</w:t>
      </w:r>
      <w:r>
        <w:t xml:space="preserve"> of</w:t>
      </w:r>
      <w:r w:rsidRPr="00231325">
        <w:t xml:space="preserve"> Indigenous knowledges</w:t>
      </w:r>
      <w:bookmarkEnd w:id="47"/>
      <w:bookmarkEnd w:id="48"/>
      <w:bookmarkEnd w:id="49"/>
    </w:p>
    <w:p w14:paraId="75B1350B" w14:textId="5615C7D6" w:rsidR="006145A3" w:rsidRPr="004A2C06" w:rsidRDefault="006145A3" w:rsidP="006145A3">
      <w:pPr>
        <w:pStyle w:val="Para0"/>
      </w:pPr>
      <w:bookmarkStart w:id="50" w:name="_Toc32137963"/>
      <w:bookmarkEnd w:id="50"/>
      <w:r w:rsidRPr="004A2C06">
        <w:t>Indigenous languages are a vehicle for transmitting Indigenous knowledges</w:t>
      </w:r>
      <w:r>
        <w:t xml:space="preserve">, </w:t>
      </w:r>
      <w:r w:rsidRPr="004A2C06">
        <w:t>includ</w:t>
      </w:r>
      <w:r>
        <w:t>ing</w:t>
      </w:r>
      <w:r w:rsidRPr="004A2C06">
        <w:t xml:space="preserve"> knowle</w:t>
      </w:r>
      <w:r>
        <w:t>d</w:t>
      </w:r>
      <w:r w:rsidRPr="004A2C06">
        <w:t>g</w:t>
      </w:r>
      <w:r>
        <w:t>e</w:t>
      </w:r>
      <w:r w:rsidRPr="004A2C06">
        <w:t xml:space="preserve"> of the physical and spiritual worlds, as well as appropriate ways to communicate and engage with others. This transmission occurs through </w:t>
      </w:r>
      <w:r w:rsidR="004B640C">
        <w:t xml:space="preserve">spoken language as well as in written and various digital forms nowadays, and through culturally significant forms of </w:t>
      </w:r>
      <w:r w:rsidRPr="004A2C06">
        <w:t xml:space="preserve">song, </w:t>
      </w:r>
      <w:r w:rsidR="004B640C">
        <w:t xml:space="preserve">chant, story, dance and gesture, </w:t>
      </w:r>
      <w:r w:rsidRPr="004A2C06">
        <w:t>hand-signs</w:t>
      </w:r>
      <w:r w:rsidR="004B640C">
        <w:t>, and activities in the traditional country of the speakers (“on-country experiences”</w:t>
      </w:r>
      <w:r w:rsidR="00802DDB">
        <w:t>)</w:t>
      </w:r>
      <w:r w:rsidRPr="004A2C06">
        <w:t>.</w:t>
      </w:r>
    </w:p>
    <w:p w14:paraId="2A4CF00B" w14:textId="77777777" w:rsidR="006145A3" w:rsidRPr="00852D94" w:rsidRDefault="006145A3" w:rsidP="006145A3">
      <w:pPr>
        <w:pStyle w:val="Heading3"/>
        <w:numPr>
          <w:ilvl w:val="2"/>
          <w:numId w:val="22"/>
        </w:numPr>
        <w:ind w:left="720"/>
        <w:rPr>
          <w:rFonts w:ascii="Times New Roman" w:hAnsi="Times New Roman" w:cs="Times New Roman"/>
        </w:rPr>
      </w:pPr>
      <w:r>
        <w:rPr>
          <w:rFonts w:ascii="Times New Roman" w:hAnsi="Times New Roman" w:cs="Times New Roman"/>
        </w:rPr>
        <w:t>K</w:t>
      </w:r>
      <w:r w:rsidRPr="00852D94">
        <w:rPr>
          <w:rFonts w:ascii="Times New Roman" w:hAnsi="Times New Roman" w:cs="Times New Roman"/>
        </w:rPr>
        <w:t>nowledge of lands and waters</w:t>
      </w:r>
    </w:p>
    <w:p w14:paraId="64A19203" w14:textId="77777777" w:rsidR="006145A3" w:rsidRPr="006F4338" w:rsidRDefault="006145A3" w:rsidP="006145A3">
      <w:pPr>
        <w:pStyle w:val="Para0"/>
      </w:pPr>
      <w:r w:rsidRPr="006F4338">
        <w:t>The Indigenous language of a particular area has the resources for representing the specific knowledges and practices that Indigenous people have deve</w:t>
      </w:r>
      <w:r>
        <w:t>loped through their close, long-</w:t>
      </w:r>
      <w:r w:rsidRPr="006F4338">
        <w:t>term and enduring interactions with the local environment.</w:t>
      </w:r>
    </w:p>
    <w:p w14:paraId="256B69E3" w14:textId="77777777" w:rsidR="006145A3" w:rsidRPr="009A29F0" w:rsidRDefault="006145A3" w:rsidP="006145A3">
      <w:pPr>
        <w:pStyle w:val="Para0"/>
      </w:pPr>
      <w:r w:rsidRPr="006F4338">
        <w:t xml:space="preserve">In an address to the General Assembly of the United Nations supporting the Decade of Indigenous Languages, </w:t>
      </w:r>
      <w:r w:rsidRPr="009A29F0">
        <w:t>Chief Perry Bellegarde of the Assembly of First Nations in Canada explains his perspective on the range of Indigenous knowledges embodied by Indigenous languages, emphasising deep understandings of the environment:</w:t>
      </w:r>
    </w:p>
    <w:p w14:paraId="24C9F96A" w14:textId="77777777" w:rsidR="006145A3" w:rsidRPr="00EB5076" w:rsidRDefault="006145A3" w:rsidP="006145A3">
      <w:pPr>
        <w:pStyle w:val="Quote"/>
      </w:pPr>
      <w:r w:rsidRPr="00EB5076">
        <w:t xml:space="preserve">Our Indigenous languages represent who we are as part of the human family. They also embody the rich contributions that Indigenous peoples make to the world because our languages express the wisdom, our worldview, the laws and lives of our ancestors. Our Indigenous languages embody traditional knowledge of how to live in balance with Mother Earth, knowledge that will be vital to our common survival as we face the ecological challenges ahead of us. </w:t>
      </w:r>
    </w:p>
    <w:p w14:paraId="73722A13" w14:textId="77777777" w:rsidR="006145A3" w:rsidRPr="00EB5076" w:rsidRDefault="006145A3" w:rsidP="006145A3">
      <w:pPr>
        <w:pStyle w:val="Quote"/>
      </w:pPr>
      <w:r w:rsidRPr="00EB5076">
        <w:t xml:space="preserve">Assembly of First Nations Chief Perry Bellegarde, addressing UN </w:t>
      </w:r>
      <w:sdt>
        <w:sdtPr>
          <w:id w:val="86504800"/>
          <w:citation/>
        </w:sdtPr>
        <w:sdtEndPr/>
        <w:sdtContent>
          <w:r>
            <w:fldChar w:fldCharType="begin"/>
          </w:r>
          <w:r>
            <w:instrText xml:space="preserve"> CITATION Net19 \l 2057 </w:instrText>
          </w:r>
          <w:r>
            <w:fldChar w:fldCharType="separate"/>
          </w:r>
          <w:r w:rsidRPr="00EC4089">
            <w:rPr>
              <w:noProof/>
            </w:rPr>
            <w:t>(</w:t>
          </w:r>
          <w:bookmarkStart w:id="51" w:name="Net19_21"/>
          <w:r w:rsidRPr="00EC4089">
            <w:rPr>
              <w:noProof/>
            </w:rPr>
            <w:t>NetNewsLedger, 2019</w:t>
          </w:r>
          <w:r w:rsidRPr="00EC4089">
            <w:rPr>
              <w:noProof/>
              <w:vertAlign w:val="subscript"/>
            </w:rPr>
            <w:t>[21]</w:t>
          </w:r>
          <w:r w:rsidRPr="00EC4089">
            <w:rPr>
              <w:noProof/>
            </w:rPr>
            <w:t>)</w:t>
          </w:r>
          <w:bookmarkEnd w:id="51"/>
          <w:r>
            <w:fldChar w:fldCharType="end"/>
          </w:r>
        </w:sdtContent>
      </w:sdt>
      <w:r w:rsidRPr="00EB5076">
        <w:t xml:space="preserve"> </w:t>
      </w:r>
    </w:p>
    <w:p w14:paraId="7DC5218C" w14:textId="77777777" w:rsidR="006145A3" w:rsidRPr="009A29F0" w:rsidRDefault="006145A3" w:rsidP="006145A3">
      <w:pPr>
        <w:pStyle w:val="Para0"/>
      </w:pPr>
      <w:r w:rsidRPr="009A29F0">
        <w:t>Indigenous languages connect their speakers to their particular tracts of lands and waters and have enabled intergenerational transmission of detailed environmental knowledge. This point was made strongly by Cree and Blackfoot Elders in interviews on the association between the continuity of their culture and traditional language and the health of First Nations people for a Canadian study in Alberta. In the following quote, one of these Elders expresses the importance of Indigenous languages for an Indigenous person's connection to their lands and culture and to the knowledge of the environment:</w:t>
      </w:r>
    </w:p>
    <w:p w14:paraId="0EA4E170" w14:textId="77777777" w:rsidR="006145A3" w:rsidRPr="00EB5076" w:rsidRDefault="006145A3" w:rsidP="006145A3">
      <w:pPr>
        <w:pStyle w:val="Quote"/>
      </w:pPr>
      <w:r w:rsidRPr="00EB5076">
        <w:t xml:space="preserve">Elders always speak of the importance of our language. Who we are is determined through our language. We speak our language and that determines where you come from, what your culture is, and even how we used to go with the different seasons in terms of following those traditional paths. Regardless of where you go, if you have that language our culture is in there... So once you lose that, what do you have left? Because our beliefs come from that in terms of how we govern ourselves. It comes in terms of how we eat, and in terms of how we educate ourselves and conduct ourselves in that full circle. </w:t>
      </w:r>
    </w:p>
    <w:p w14:paraId="6669369D" w14:textId="72AB3ACD" w:rsidR="006145A3" w:rsidRPr="00EB5076" w:rsidRDefault="008D0BBE" w:rsidP="006145A3">
      <w:pPr>
        <w:pStyle w:val="Quote"/>
      </w:pPr>
      <w:sdt>
        <w:sdtPr>
          <w:id w:val="-1580210886"/>
          <w:citation/>
        </w:sdtPr>
        <w:sdtEndPr/>
        <w:sdtContent>
          <w:r w:rsidR="006145A3">
            <w:fldChar w:fldCharType="begin"/>
          </w:r>
          <w:r w:rsidR="00092C37">
            <w:instrText xml:space="preserve">CITATION Ost14 \l 2057 </w:instrText>
          </w:r>
          <w:r w:rsidR="006145A3">
            <w:fldChar w:fldCharType="separate"/>
          </w:r>
          <w:r w:rsidR="00092C37" w:rsidRPr="00092C37">
            <w:rPr>
              <w:noProof/>
            </w:rPr>
            <w:t>(Oster et al., 2014</w:t>
          </w:r>
          <w:r w:rsidR="00092C37" w:rsidRPr="00092C37">
            <w:rPr>
              <w:noProof/>
              <w:vertAlign w:val="subscript"/>
            </w:rPr>
            <w:t>[24]</w:t>
          </w:r>
          <w:r w:rsidR="00092C37" w:rsidRPr="00092C37">
            <w:rPr>
              <w:noProof/>
            </w:rPr>
            <w:t>)</w:t>
          </w:r>
          <w:r w:rsidR="006145A3">
            <w:fldChar w:fldCharType="end"/>
          </w:r>
        </w:sdtContent>
      </w:sdt>
    </w:p>
    <w:p w14:paraId="6D611653" w14:textId="77777777" w:rsidR="006145A3" w:rsidRPr="009A29F0" w:rsidRDefault="006145A3" w:rsidP="006145A3">
      <w:pPr>
        <w:pStyle w:val="Para0"/>
      </w:pPr>
      <w:r w:rsidRPr="006F4338">
        <w:t xml:space="preserve">Jack Buckskin, an Australian Aboriginal language activist, describes how </w:t>
      </w:r>
      <w:r w:rsidRPr="009A29F0">
        <w:t>reviving his Kaurna language connects him to his land:</w:t>
      </w:r>
    </w:p>
    <w:p w14:paraId="40A26091" w14:textId="77777777" w:rsidR="006145A3" w:rsidRPr="00197744" w:rsidRDefault="006145A3" w:rsidP="006145A3">
      <w:pPr>
        <w:pStyle w:val="Quote"/>
        <w:rPr>
          <w:i w:val="0"/>
        </w:rPr>
      </w:pPr>
      <w:r w:rsidRPr="00197744">
        <w:rPr>
          <w:i w:val="0"/>
        </w:rPr>
        <w:t>Ngaityu warra ngathaitya ngai. Ngaityu warra yaintya yarta-ana tarraitpayinthi. Warraitya tampinthi yaintya yarta tampi-apinthi.</w:t>
      </w:r>
    </w:p>
    <w:p w14:paraId="305F829A" w14:textId="77777777" w:rsidR="006145A3" w:rsidRPr="00EB5076" w:rsidRDefault="006145A3" w:rsidP="006145A3">
      <w:pPr>
        <w:pStyle w:val="Quote"/>
      </w:pPr>
      <w:r w:rsidRPr="00EB5076">
        <w:t>(My language is more than just a way to converse with me. It is my identity and the doorway to understanding my culture as a whole. Understanding my language helps me to understand the place around me and connects me to this country.)</w:t>
      </w:r>
    </w:p>
    <w:p w14:paraId="5B22254F" w14:textId="77777777" w:rsidR="006145A3" w:rsidRPr="00EB5076" w:rsidRDefault="006145A3" w:rsidP="006145A3">
      <w:pPr>
        <w:pStyle w:val="Quote"/>
      </w:pPr>
      <w:r>
        <w:rPr>
          <w:rStyle w:val="Strong"/>
          <w:rFonts w:cstheme="minorBidi"/>
          <w:b w:val="0"/>
        </w:rPr>
        <w:t>Vincent “</w:t>
      </w:r>
      <w:r w:rsidRPr="00EB5076">
        <w:rPr>
          <w:rStyle w:val="Strong"/>
          <w:rFonts w:cstheme="minorBidi"/>
          <w:b w:val="0"/>
        </w:rPr>
        <w:t>Jack</w:t>
      </w:r>
      <w:r>
        <w:rPr>
          <w:rStyle w:val="Strong"/>
          <w:rFonts w:cstheme="minorBidi"/>
          <w:b w:val="0"/>
        </w:rPr>
        <w:t>”</w:t>
      </w:r>
      <w:r w:rsidRPr="00EB5076">
        <w:rPr>
          <w:rStyle w:val="Strong"/>
          <w:rFonts w:cstheme="minorBidi"/>
          <w:b w:val="0"/>
        </w:rPr>
        <w:t xml:space="preserve"> Buckskin, Cultural Mentor, Tauondi College and Kaurna language </w:t>
      </w:r>
      <w:r w:rsidRPr="00D10AA6">
        <w:rPr>
          <w:rStyle w:val="Strong"/>
          <w:rFonts w:cstheme="minorBidi"/>
          <w:b w:val="0"/>
        </w:rPr>
        <w:t xml:space="preserve">leader </w:t>
      </w:r>
      <w:r w:rsidRPr="00D10AA6">
        <w:t xml:space="preserve">(Australian Curriculum </w:t>
      </w:r>
      <w:sdt>
        <w:sdtPr>
          <w:id w:val="2097127907"/>
          <w:citation/>
        </w:sdtPr>
        <w:sdtEndPr/>
        <w:sdtContent>
          <w:r w:rsidRPr="00D10AA6">
            <w:fldChar w:fldCharType="begin"/>
          </w:r>
          <w:r w:rsidRPr="00D10AA6">
            <w:instrText xml:space="preserve"> CITATION Aus163 \l 2057 </w:instrText>
          </w:r>
          <w:r w:rsidRPr="00D10AA6">
            <w:fldChar w:fldCharType="separate"/>
          </w:r>
          <w:r w:rsidRPr="00D10AA6">
            <w:rPr>
              <w:noProof/>
            </w:rPr>
            <w:t>(</w:t>
          </w:r>
          <w:bookmarkStart w:id="52" w:name="Aus163_23"/>
          <w:r w:rsidRPr="00D10AA6">
            <w:rPr>
              <w:noProof/>
            </w:rPr>
            <w:t>Australian Curriculum Assessment and Reporting Authority, 2016</w:t>
          </w:r>
          <w:r w:rsidRPr="00D10AA6">
            <w:rPr>
              <w:noProof/>
              <w:vertAlign w:val="subscript"/>
            </w:rPr>
            <w:t>[23]</w:t>
          </w:r>
          <w:r w:rsidRPr="00D10AA6">
            <w:rPr>
              <w:noProof/>
            </w:rPr>
            <w:t>)</w:t>
          </w:r>
          <w:bookmarkEnd w:id="52"/>
          <w:r w:rsidRPr="00D10AA6">
            <w:fldChar w:fldCharType="end"/>
          </w:r>
        </w:sdtContent>
      </w:sdt>
    </w:p>
    <w:p w14:paraId="47FE3FF5" w14:textId="77777777" w:rsidR="006145A3" w:rsidRPr="00852D94" w:rsidRDefault="006145A3" w:rsidP="006145A3">
      <w:pPr>
        <w:pStyle w:val="Heading3"/>
        <w:numPr>
          <w:ilvl w:val="2"/>
          <w:numId w:val="22"/>
        </w:numPr>
        <w:ind w:left="720"/>
        <w:rPr>
          <w:rFonts w:ascii="Times New Roman" w:hAnsi="Times New Roman" w:cs="Times New Roman"/>
        </w:rPr>
      </w:pPr>
      <w:bookmarkStart w:id="53" w:name="_Toc32137964"/>
      <w:bookmarkStart w:id="54" w:name="_Ref31798020"/>
      <w:bookmarkEnd w:id="53"/>
      <w:bookmarkEnd w:id="54"/>
      <w:r>
        <w:rPr>
          <w:rFonts w:ascii="Times New Roman" w:hAnsi="Times New Roman" w:cs="Times New Roman"/>
        </w:rPr>
        <w:lastRenderedPageBreak/>
        <w:t>S</w:t>
      </w:r>
      <w:r w:rsidRPr="00852D94">
        <w:rPr>
          <w:rFonts w:ascii="Times New Roman" w:hAnsi="Times New Roman" w:cs="Times New Roman"/>
        </w:rPr>
        <w:t>piritual beliefs</w:t>
      </w:r>
    </w:p>
    <w:p w14:paraId="7FE8884B" w14:textId="77777777" w:rsidR="006145A3" w:rsidRPr="00231325" w:rsidRDefault="006145A3" w:rsidP="006145A3">
      <w:pPr>
        <w:pStyle w:val="Para0"/>
      </w:pPr>
      <w:r w:rsidRPr="002951CF">
        <w:t xml:space="preserve">Indigenous belief systems are also learned through Indigenous languages. </w:t>
      </w:r>
      <w:r w:rsidRPr="00231325">
        <w:t xml:space="preserve">In contexts where an Indigenous language is spoken strongly by Elders, but not by all young people, </w:t>
      </w:r>
      <w:r w:rsidRPr="009A29F0">
        <w:t>absence of language may be seen as a danger to young people's spiritual strength and wellbeing, as expressed here by Warlpiri Patu Kurlangu Jaru, an Australian Aboriginal association</w:t>
      </w:r>
      <w:r w:rsidRPr="00231325">
        <w:t>:</w:t>
      </w:r>
    </w:p>
    <w:p w14:paraId="16C1B3D6" w14:textId="77777777" w:rsidR="006145A3" w:rsidRPr="00EB5076" w:rsidRDefault="006145A3" w:rsidP="006145A3">
      <w:pPr>
        <w:pStyle w:val="Quote"/>
      </w:pPr>
      <w:r w:rsidRPr="00EB5076">
        <w:t>Knowing that our own language and culture play the biggest role in growing our spirit, our connection to our land and the stories of our grandmother and grandfathers. With our language we know where we belong, we know the names from our country and Jukurrpa (Dreaming stories and designs). Young people can't lead a good, healthy and happy life without this. Language and culture come first. When kids feel lost and their spirit is weak then they can't learn well or be healthy.</w:t>
      </w:r>
    </w:p>
    <w:p w14:paraId="201CE5B2" w14:textId="77777777" w:rsidR="006145A3" w:rsidRPr="00EB5076" w:rsidRDefault="006145A3" w:rsidP="006145A3">
      <w:pPr>
        <w:pStyle w:val="Quote"/>
      </w:pPr>
      <w:r w:rsidRPr="00EB5076">
        <w:t>Warlpiri Patu Kurlangu Jaru, in House of Representatives Standing Committee on Aboriginal and Torres Strait Islander Affairs (</w:t>
      </w:r>
      <w:r w:rsidRPr="005C35BB">
        <w:t>2012</w:t>
      </w:r>
      <w:r w:rsidRPr="00EB5076">
        <w:t>)</w:t>
      </w:r>
    </w:p>
    <w:p w14:paraId="0FA4A60C" w14:textId="77777777" w:rsidR="006145A3" w:rsidRPr="00231325" w:rsidRDefault="006145A3" w:rsidP="006145A3">
      <w:pPr>
        <w:pStyle w:val="Para0"/>
      </w:pPr>
      <w:r w:rsidRPr="00231325">
        <w:t>Māori researcher Cheryl Rau writes:</w:t>
      </w:r>
    </w:p>
    <w:p w14:paraId="3A82DFAB" w14:textId="77777777" w:rsidR="006145A3" w:rsidRPr="00EB5076" w:rsidRDefault="006145A3" w:rsidP="006145A3">
      <w:pPr>
        <w:pStyle w:val="Quote"/>
      </w:pPr>
      <w:r>
        <w:t>A Māori worldview recognis</w:t>
      </w:r>
      <w:r w:rsidRPr="00EB5076">
        <w:t xml:space="preserve">es the central importance of </w:t>
      </w:r>
      <w:r w:rsidRPr="00197744">
        <w:rPr>
          <w:i w:val="0"/>
        </w:rPr>
        <w:t>te reo</w:t>
      </w:r>
      <w:r w:rsidRPr="00EB5076">
        <w:t xml:space="preserve"> (the Māori language) as the source and mechanism for reflecting and transmitting </w:t>
      </w:r>
      <w:r w:rsidRPr="00197744">
        <w:rPr>
          <w:i w:val="0"/>
        </w:rPr>
        <w:t>tikanga</w:t>
      </w:r>
      <w:r w:rsidRPr="00EB5076">
        <w:t xml:space="preserve"> [right way of doing things]. Valued and gifted from one generation to the next</w:t>
      </w:r>
      <w:r w:rsidRPr="00197744">
        <w:rPr>
          <w:i w:val="0"/>
        </w:rPr>
        <w:t>, te reo</w:t>
      </w:r>
      <w:r w:rsidRPr="00EB5076">
        <w:t xml:space="preserve"> imprints </w:t>
      </w:r>
      <w:r w:rsidRPr="00197744">
        <w:rPr>
          <w:i w:val="0"/>
        </w:rPr>
        <w:t>Te Ao Māori</w:t>
      </w:r>
      <w:r w:rsidRPr="00EB5076">
        <w:t xml:space="preserve"> [the Māori World] philosophy, weaving values and beliefs through metaphors, proverbs, and traditional stories (</w:t>
      </w:r>
      <w:r w:rsidRPr="00197744">
        <w:rPr>
          <w:i w:val="0"/>
        </w:rPr>
        <w:t>whakatauki</w:t>
      </w:r>
      <w:r w:rsidRPr="00EB5076">
        <w:t xml:space="preserve">, </w:t>
      </w:r>
      <w:r w:rsidRPr="00197744">
        <w:rPr>
          <w:i w:val="0"/>
        </w:rPr>
        <w:t>whakatauākī</w:t>
      </w:r>
      <w:r w:rsidRPr="00EB5076">
        <w:t xml:space="preserve">, </w:t>
      </w:r>
      <w:r w:rsidRPr="00197744">
        <w:rPr>
          <w:i w:val="0"/>
        </w:rPr>
        <w:t>pūrākau</w:t>
      </w:r>
      <w:r w:rsidRPr="00EB5076">
        <w:t xml:space="preserve">, </w:t>
      </w:r>
      <w:r w:rsidRPr="00197744">
        <w:rPr>
          <w:i w:val="0"/>
        </w:rPr>
        <w:t>pakiwaitara</w:t>
      </w:r>
      <w:r w:rsidRPr="00EB5076">
        <w:t xml:space="preserve">, and </w:t>
      </w:r>
      <w:r w:rsidRPr="00197744">
        <w:rPr>
          <w:i w:val="0"/>
        </w:rPr>
        <w:t>kōrero</w:t>
      </w:r>
      <w:r w:rsidRPr="00EB5076">
        <w:t xml:space="preserve">). </w:t>
      </w:r>
      <w:r w:rsidRPr="00197744">
        <w:rPr>
          <w:i w:val="0"/>
        </w:rPr>
        <w:t>Te reo</w:t>
      </w:r>
      <w:r w:rsidRPr="00EB5076">
        <w:t xml:space="preserve"> is therefore critical to shaping Māori ways of knowing, doing, and being in articulations that are </w:t>
      </w:r>
      <w:r w:rsidRPr="00197744">
        <w:rPr>
          <w:i w:val="0"/>
        </w:rPr>
        <w:t>tika</w:t>
      </w:r>
      <w:r w:rsidRPr="00EB5076">
        <w:t xml:space="preserve"> (right) […] Māori, as a metaphoric people, view </w:t>
      </w:r>
      <w:r w:rsidRPr="00197744">
        <w:rPr>
          <w:i w:val="0"/>
        </w:rPr>
        <w:t>te reo</w:t>
      </w:r>
      <w:r w:rsidRPr="00EB5076">
        <w:t xml:space="preserve"> as </w:t>
      </w:r>
      <w:r w:rsidRPr="00197744">
        <w:rPr>
          <w:i w:val="0"/>
        </w:rPr>
        <w:t>he taonga tuku iho nō ngā tūpuna</w:t>
      </w:r>
      <w:r w:rsidRPr="00EB5076">
        <w:t xml:space="preserve">—the language is considered to be a treasure handed down from the elders to the </w:t>
      </w:r>
      <w:r w:rsidRPr="00197744">
        <w:rPr>
          <w:i w:val="0"/>
        </w:rPr>
        <w:t>mokopuna</w:t>
      </w:r>
      <w:r w:rsidRPr="00EB5076">
        <w:t xml:space="preserve"> (grandchildren). </w:t>
      </w:r>
    </w:p>
    <w:p w14:paraId="49CB7DA2" w14:textId="77777777" w:rsidR="006145A3" w:rsidRPr="00EB5076" w:rsidRDefault="008D0BBE" w:rsidP="006145A3">
      <w:pPr>
        <w:pStyle w:val="Quote"/>
      </w:pPr>
      <w:sdt>
        <w:sdtPr>
          <w:id w:val="-198087279"/>
          <w:citation/>
        </w:sdtPr>
        <w:sdtEndPr/>
        <w:sdtContent>
          <w:r w:rsidR="006145A3">
            <w:fldChar w:fldCharType="begin"/>
          </w:r>
          <w:r w:rsidR="006145A3">
            <w:instrText xml:space="preserve">CITATION Rau11 \l 2057 </w:instrText>
          </w:r>
          <w:r w:rsidR="006145A3">
            <w:fldChar w:fldCharType="separate"/>
          </w:r>
          <w:r w:rsidR="006145A3" w:rsidRPr="00973F3B">
            <w:rPr>
              <w:noProof/>
            </w:rPr>
            <w:t>(</w:t>
          </w:r>
          <w:bookmarkStart w:id="55" w:name="Rau11_24"/>
          <w:r w:rsidR="006145A3" w:rsidRPr="00973F3B">
            <w:rPr>
              <w:noProof/>
            </w:rPr>
            <w:t>Rau and Ritchie, 2011</w:t>
          </w:r>
          <w:r w:rsidR="006145A3" w:rsidRPr="00973F3B">
            <w:rPr>
              <w:noProof/>
              <w:vertAlign w:val="subscript"/>
            </w:rPr>
            <w:t>[24]</w:t>
          </w:r>
          <w:r w:rsidR="006145A3" w:rsidRPr="00973F3B">
            <w:rPr>
              <w:noProof/>
            </w:rPr>
            <w:t>)</w:t>
          </w:r>
          <w:bookmarkEnd w:id="55"/>
          <w:r w:rsidR="006145A3">
            <w:fldChar w:fldCharType="end"/>
          </w:r>
        </w:sdtContent>
      </w:sdt>
    </w:p>
    <w:p w14:paraId="1E9F99E1" w14:textId="0657BB2C" w:rsidR="006145A3" w:rsidRPr="00CE1AAE" w:rsidRDefault="006145A3" w:rsidP="006145A3">
      <w:pPr>
        <w:pStyle w:val="Para0"/>
      </w:pPr>
      <w:r w:rsidRPr="00EE5858">
        <w:t>Indigenous</w:t>
      </w:r>
      <w:r w:rsidRPr="00231325">
        <w:t xml:space="preserve"> conceptualisations of </w:t>
      </w:r>
      <w:r w:rsidRPr="00CE1AAE">
        <w:t xml:space="preserve">spiritual beliefs and practices are worded in Indigenous languages. The inadequacy of a colonial language for rendering the depth of Michif cultural practices was noted by Russell Fayant </w:t>
      </w:r>
      <w:sdt>
        <w:sdtPr>
          <w:id w:val="1155495032"/>
          <w:citation/>
        </w:sdtPr>
        <w:sdtEndPr/>
        <w:sdtContent>
          <w:r>
            <w:fldChar w:fldCharType="begin"/>
          </w:r>
          <w:r>
            <w:instrText xml:space="preserve"> CITATION Ste16 \l 2057 </w:instrText>
          </w:r>
          <w:r>
            <w:fldChar w:fldCharType="separate"/>
          </w:r>
          <w:r w:rsidRPr="00A8736F">
            <w:rPr>
              <w:noProof/>
            </w:rPr>
            <w:t>(</w:t>
          </w:r>
          <w:bookmarkStart w:id="56" w:name="Ste16_25"/>
          <w:r w:rsidRPr="00A8736F">
            <w:rPr>
              <w:noProof/>
            </w:rPr>
            <w:t>Sterzuk and Fayant, 2016</w:t>
          </w:r>
          <w:r w:rsidRPr="00A8736F">
            <w:rPr>
              <w:noProof/>
              <w:vertAlign w:val="subscript"/>
            </w:rPr>
            <w:t>[25]</w:t>
          </w:r>
          <w:r w:rsidRPr="00A8736F">
            <w:rPr>
              <w:noProof/>
            </w:rPr>
            <w:t>)</w:t>
          </w:r>
          <w:bookmarkEnd w:id="56"/>
          <w:r>
            <w:fldChar w:fldCharType="end"/>
          </w:r>
        </w:sdtContent>
      </w:sdt>
      <w:r w:rsidRPr="00CE1AAE">
        <w:t xml:space="preserve">. Grieves </w:t>
      </w:r>
      <w:sdt>
        <w:sdtPr>
          <w:id w:val="-796299672"/>
          <w:citation/>
        </w:sdtPr>
        <w:sdtEndPr/>
        <w:sdtContent>
          <w:r>
            <w:fldChar w:fldCharType="begin"/>
          </w:r>
          <w:r w:rsidR="00092C37">
            <w:instrText xml:space="preserve">CITATION Gri09 \n  \l 2057 </w:instrText>
          </w:r>
          <w:r>
            <w:fldChar w:fldCharType="separate"/>
          </w:r>
          <w:r w:rsidR="00092C37" w:rsidRPr="00092C37">
            <w:rPr>
              <w:noProof/>
            </w:rPr>
            <w:t>(2009</w:t>
          </w:r>
          <w:r w:rsidR="00092C37" w:rsidRPr="00092C37">
            <w:rPr>
              <w:noProof/>
              <w:vertAlign w:val="subscript"/>
            </w:rPr>
            <w:t>[28]</w:t>
          </w:r>
          <w:r w:rsidR="00092C37" w:rsidRPr="00092C37">
            <w:rPr>
              <w:noProof/>
            </w:rPr>
            <w:t>)</w:t>
          </w:r>
          <w:r>
            <w:fldChar w:fldCharType="end"/>
          </w:r>
        </w:sdtContent>
      </w:sdt>
      <w:r w:rsidRPr="00CE1AAE">
        <w:t xml:space="preserve"> notes the centrality of concepts someti</w:t>
      </w:r>
      <w:r>
        <w:t>mes approximated in English as “Dreaming” and “</w:t>
      </w:r>
      <w:r w:rsidRPr="00CE1AAE">
        <w:t>Law</w:t>
      </w:r>
      <w:r>
        <w:t>”</w:t>
      </w:r>
      <w:r w:rsidRPr="00CE1AAE">
        <w:t xml:space="preserve"> for Australian Aboriginal peoples, explaining that these English translations are inadequate for conveying the entirety of culturally-based meanings encompassed by the terms in Aboriginal languages:</w:t>
      </w:r>
    </w:p>
    <w:p w14:paraId="6BDF0109" w14:textId="7917340C" w:rsidR="006145A3" w:rsidRPr="00EB5076" w:rsidRDefault="006145A3" w:rsidP="006145A3">
      <w:pPr>
        <w:pStyle w:val="Quote"/>
      </w:pPr>
      <w:r w:rsidRPr="00EB5076">
        <w:t>…the English word Dreaming is not equivalent to the meanings that exist in Aboriginal languages to refer to the time and events of creation and the laws laid down at the time, nor to the active and powerful ongoing work of these sustaining spirits. Nevertheless, the term Dreaming has become a gloss used within Australian English. As the creation stories contain the blueprint for all life, some Aboriginal Elders prefer to use the word Law. The Dreaming or the Law are so much more than either term can convey in English, and so much more than a philosophy confined to religion in the Western understanding</w:t>
      </w:r>
      <w:r>
        <w:t xml:space="preserve"> </w:t>
      </w:r>
      <w:sdt>
        <w:sdtPr>
          <w:id w:val="1968707835"/>
          <w:citation/>
        </w:sdtPr>
        <w:sdtEndPr/>
        <w:sdtContent>
          <w:r>
            <w:fldChar w:fldCharType="begin"/>
          </w:r>
          <w:r w:rsidR="00092C37">
            <w:instrText xml:space="preserve">CITATION Gri09 \l 2057 </w:instrText>
          </w:r>
          <w:r>
            <w:fldChar w:fldCharType="separate"/>
          </w:r>
          <w:r w:rsidR="00092C37" w:rsidRPr="00092C37">
            <w:rPr>
              <w:noProof/>
            </w:rPr>
            <w:t>(</w:t>
          </w:r>
          <w:bookmarkStart w:id="57" w:name="Gri09_28"/>
          <w:r w:rsidR="00092C37" w:rsidRPr="00092C37">
            <w:rPr>
              <w:noProof/>
            </w:rPr>
            <w:t>Grieves, 2009</w:t>
          </w:r>
          <w:r w:rsidR="00092C37" w:rsidRPr="00092C37">
            <w:rPr>
              <w:noProof/>
              <w:vertAlign w:val="subscript"/>
            </w:rPr>
            <w:t>[28]</w:t>
          </w:r>
          <w:r w:rsidR="00092C37" w:rsidRPr="00092C37">
            <w:rPr>
              <w:noProof/>
            </w:rPr>
            <w:t>)</w:t>
          </w:r>
          <w:bookmarkEnd w:id="57"/>
          <w:r>
            <w:fldChar w:fldCharType="end"/>
          </w:r>
        </w:sdtContent>
      </w:sdt>
      <w:r w:rsidRPr="00EB5076">
        <w:t>.</w:t>
      </w:r>
    </w:p>
    <w:p w14:paraId="6537AE3A" w14:textId="77777777" w:rsidR="006145A3" w:rsidRPr="00CE1AAE" w:rsidRDefault="006145A3" w:rsidP="006145A3">
      <w:pPr>
        <w:pStyle w:val="Para0"/>
      </w:pPr>
      <w:r w:rsidRPr="00CE1AAE">
        <w:t>In Canada, McIvor</w:t>
      </w:r>
      <w:r>
        <w:t xml:space="preserve"> et al.</w:t>
      </w:r>
      <w:r w:rsidRPr="00CE1AAE">
        <w:rPr>
          <w:i/>
          <w:iCs/>
        </w:rPr>
        <w:t xml:space="preserve"> </w:t>
      </w:r>
      <w:sdt>
        <w:sdtPr>
          <w:rPr>
            <w:i/>
            <w:iCs/>
          </w:rPr>
          <w:id w:val="1295557331"/>
          <w:citation/>
        </w:sdtPr>
        <w:sdtEndPr/>
        <w:sdtContent>
          <w:r>
            <w:rPr>
              <w:i/>
              <w:iCs/>
            </w:rPr>
            <w:fldChar w:fldCharType="begin"/>
          </w:r>
          <w:r>
            <w:rPr>
              <w:i/>
              <w:iCs/>
            </w:rPr>
            <w:instrText xml:space="preserve">CITATION McI09 \n  \l 2057 </w:instrText>
          </w:r>
          <w:r>
            <w:rPr>
              <w:i/>
              <w:iCs/>
            </w:rPr>
            <w:fldChar w:fldCharType="separate"/>
          </w:r>
          <w:r w:rsidRPr="00A8736F">
            <w:rPr>
              <w:noProof/>
            </w:rPr>
            <w:t>(2009</w:t>
          </w:r>
          <w:r w:rsidRPr="00A8736F">
            <w:rPr>
              <w:noProof/>
              <w:vertAlign w:val="subscript"/>
            </w:rPr>
            <w:t>[27]</w:t>
          </w:r>
          <w:r w:rsidRPr="00A8736F">
            <w:rPr>
              <w:noProof/>
            </w:rPr>
            <w:t>)</w:t>
          </w:r>
          <w:r>
            <w:rPr>
              <w:i/>
              <w:iCs/>
            </w:rPr>
            <w:fldChar w:fldCharType="end"/>
          </w:r>
        </w:sdtContent>
      </w:sdt>
      <w:r w:rsidRPr="00CE1AAE">
        <w:t xml:space="preserve"> discuss the relationship between spirituality and Indigenous languages in language and cultural revival contexts. The authors hold that traditional languages are key for understanding culture, worldviews, value systems and spirituality. They take the position that language revitalisation plays a vital part for contemporary Indigenous peoples' spirituality and well-being: </w:t>
      </w:r>
    </w:p>
    <w:p w14:paraId="2423DFEF" w14:textId="77777777" w:rsidR="006145A3" w:rsidRPr="00EB5076" w:rsidRDefault="006145A3" w:rsidP="006145A3">
      <w:pPr>
        <w:pStyle w:val="Quote"/>
      </w:pPr>
      <w:r w:rsidRPr="00EB5076">
        <w:t>It is questionable whether the full spectrum of pre</w:t>
      </w:r>
      <w:r>
        <w:t>-</w:t>
      </w:r>
      <w:r w:rsidRPr="00EB5076">
        <w:t>contact belief systems can ever be fully and accurately revived but one factor that would be key in attempting such a process is Aboriginal languages. Languages are the window to the soul of a culture and much can be determined about traditional worldviews and value systems through careful analysis and study of words, concepts, phrases, omissions, and comparisons with western languages and view</w:t>
      </w:r>
      <w:r>
        <w:t>s. Does an indigenous word for “</w:t>
      </w:r>
      <w:r w:rsidRPr="00EB5076">
        <w:t>sky</w:t>
      </w:r>
      <w:r>
        <w:t>”,</w:t>
      </w:r>
      <w:r w:rsidRPr="00EB5076">
        <w:t xml:space="preserve"> when it's translated literally really mean just the noun sky or does this word reveal something deeper, with more profound cosmological and mythical connections?... Core spirituality can never be fully understood without an understanding of the language </w:t>
      </w:r>
      <w:sdt>
        <w:sdtPr>
          <w:id w:val="211083355"/>
          <w:citation/>
        </w:sdtPr>
        <w:sdtEndPr/>
        <w:sdtContent>
          <w:r>
            <w:fldChar w:fldCharType="begin"/>
          </w:r>
          <w:r>
            <w:instrText xml:space="preserve"> CITATION McI09 \l 2057 </w:instrText>
          </w:r>
          <w:r>
            <w:fldChar w:fldCharType="separate"/>
          </w:r>
          <w:r w:rsidRPr="00A8736F">
            <w:rPr>
              <w:noProof/>
            </w:rPr>
            <w:t>(</w:t>
          </w:r>
          <w:bookmarkStart w:id="58" w:name="McI09_27"/>
          <w:r w:rsidRPr="00A8736F">
            <w:rPr>
              <w:noProof/>
            </w:rPr>
            <w:t>McIvor, Napoleon and Dickie, 2009</w:t>
          </w:r>
          <w:r w:rsidRPr="00A8736F">
            <w:rPr>
              <w:noProof/>
              <w:vertAlign w:val="subscript"/>
            </w:rPr>
            <w:t>[27]</w:t>
          </w:r>
          <w:r w:rsidRPr="00A8736F">
            <w:rPr>
              <w:noProof/>
            </w:rPr>
            <w:t>)</w:t>
          </w:r>
          <w:bookmarkEnd w:id="58"/>
          <w:r>
            <w:fldChar w:fldCharType="end"/>
          </w:r>
        </w:sdtContent>
      </w:sdt>
      <w:r w:rsidRPr="00EB5076">
        <w:t>.</w:t>
      </w:r>
    </w:p>
    <w:p w14:paraId="0F5286C7" w14:textId="77777777" w:rsidR="006145A3" w:rsidRPr="00852D94" w:rsidRDefault="006145A3" w:rsidP="006145A3">
      <w:pPr>
        <w:pStyle w:val="Heading3"/>
        <w:numPr>
          <w:ilvl w:val="2"/>
          <w:numId w:val="22"/>
        </w:numPr>
        <w:ind w:left="720"/>
        <w:rPr>
          <w:rFonts w:ascii="Times New Roman" w:hAnsi="Times New Roman" w:cs="Times New Roman"/>
        </w:rPr>
      </w:pPr>
      <w:bookmarkStart w:id="59" w:name="_Toc32137966"/>
      <w:bookmarkEnd w:id="59"/>
      <w:r>
        <w:rPr>
          <w:rFonts w:ascii="Times New Roman" w:hAnsi="Times New Roman" w:cs="Times New Roman"/>
        </w:rPr>
        <w:lastRenderedPageBreak/>
        <w:t>S</w:t>
      </w:r>
      <w:r w:rsidRPr="00852D94">
        <w:rPr>
          <w:rFonts w:ascii="Times New Roman" w:hAnsi="Times New Roman" w:cs="Times New Roman"/>
        </w:rPr>
        <w:t>ocial networks</w:t>
      </w:r>
    </w:p>
    <w:p w14:paraId="6C09478C" w14:textId="77777777" w:rsidR="006145A3" w:rsidRPr="009A29F0" w:rsidRDefault="006145A3" w:rsidP="006145A3">
      <w:pPr>
        <w:pStyle w:val="Para0"/>
      </w:pPr>
      <w:r w:rsidRPr="009A29F0">
        <w:t xml:space="preserve">Culturally significant social networks is another focus area of Indigenous culture commonly reflected in Indigenous languages. Indigenous languages express culturally significant aspects of their speakers' social lives such as their kinship terms, or particular ways of addressing people in different relationships. Languages also perform the everyday functions of social interactions which establish social cohesion, as well as special functions, such as ceremonies. </w:t>
      </w:r>
    </w:p>
    <w:p w14:paraId="3B0ABC19" w14:textId="77777777" w:rsidR="006145A3" w:rsidRPr="009A29F0" w:rsidRDefault="006145A3" w:rsidP="006145A3">
      <w:pPr>
        <w:pStyle w:val="Para0"/>
      </w:pPr>
      <w:r w:rsidRPr="00231325">
        <w:t xml:space="preserve">Indigenous peoples often voice the opinion that </w:t>
      </w:r>
      <w:r w:rsidRPr="009A29F0">
        <w:t>Indigenous languages have a role in ensuring cultural continuity, connecting Aboriginal people t</w:t>
      </w:r>
      <w:r>
        <w:t xml:space="preserve">o their past history and their “old people” </w:t>
      </w:r>
      <w:r w:rsidRPr="009A29F0">
        <w:t>as well as to future generations. This perspective is expressed by Jaru woman Bonnie Deegan, chairperson of the Kimberley Language Resource Centre in Western Australia, a community-based, Aboriginal run language organisation:</w:t>
      </w:r>
    </w:p>
    <w:p w14:paraId="25DED6D6" w14:textId="77777777" w:rsidR="006145A3" w:rsidRPr="00EB5076" w:rsidRDefault="006145A3" w:rsidP="006145A3">
      <w:pPr>
        <w:pStyle w:val="Quote"/>
      </w:pPr>
      <w:r w:rsidRPr="00EB5076">
        <w:t xml:space="preserve">Language is a very big part of the culture of Aboriginal people in the Kimberley. We know who we are by the language we speak. It joins us to our past and our old people, right back to the dreamtime. It ties us to our land, and it makes us proud and strong. </w:t>
      </w:r>
    </w:p>
    <w:p w14:paraId="70E49BB8" w14:textId="77777777" w:rsidR="006145A3" w:rsidRPr="00EB5076" w:rsidRDefault="006145A3" w:rsidP="006145A3">
      <w:pPr>
        <w:pStyle w:val="Quote"/>
      </w:pPr>
      <w:r w:rsidRPr="00EB5076">
        <w:t xml:space="preserve">Language also gives us a place in the present day. It shows all Australians that we have something to give to society, and that we have a rightful place in today's world. By keeping our language strong, we let everyone know that our lives and feelings and wishes are important, and that we are here to stay. </w:t>
      </w:r>
    </w:p>
    <w:p w14:paraId="0D36C2BB" w14:textId="77777777" w:rsidR="006145A3" w:rsidRPr="00EB5076" w:rsidRDefault="006145A3" w:rsidP="006145A3">
      <w:pPr>
        <w:pStyle w:val="Quote"/>
      </w:pPr>
      <w:r w:rsidRPr="00EB5076">
        <w:t xml:space="preserve">Most importantly, we keep our language for the future. Our children will grow up knowing where they come from, and knowing that their parents are proud to be Aboriginal Australians. And they will be able to follow the path right back to their ancestors. This will help young people to belong. </w:t>
      </w:r>
    </w:p>
    <w:p w14:paraId="08D92E2B" w14:textId="64772BD1" w:rsidR="006145A3" w:rsidRPr="00EB5076" w:rsidRDefault="006145A3" w:rsidP="006145A3">
      <w:pPr>
        <w:pStyle w:val="Quote"/>
      </w:pPr>
      <w:r w:rsidRPr="00EB5076">
        <w:t xml:space="preserve">Bonnie Deegan </w:t>
      </w:r>
      <w:sdt>
        <w:sdtPr>
          <w:id w:val="-742872430"/>
          <w:citation/>
        </w:sdtPr>
        <w:sdtEndPr/>
        <w:sdtContent>
          <w:r>
            <w:fldChar w:fldCharType="begin"/>
          </w:r>
          <w:r w:rsidR="00EB70A8">
            <w:instrText xml:space="preserve">CITATION Kim11 \l 2057 </w:instrText>
          </w:r>
          <w:r>
            <w:fldChar w:fldCharType="separate"/>
          </w:r>
          <w:r w:rsidR="00EB70A8" w:rsidRPr="00EB70A8">
            <w:rPr>
              <w:noProof/>
            </w:rPr>
            <w:t>(Kimberley Language Resource Centre, 2011</w:t>
          </w:r>
          <w:r w:rsidR="00EB70A8" w:rsidRPr="00EB70A8">
            <w:rPr>
              <w:noProof/>
              <w:vertAlign w:val="subscript"/>
            </w:rPr>
            <w:t>[30]</w:t>
          </w:r>
          <w:r w:rsidR="00EB70A8" w:rsidRPr="00EB70A8">
            <w:rPr>
              <w:noProof/>
            </w:rPr>
            <w:t>)</w:t>
          </w:r>
          <w:r>
            <w:fldChar w:fldCharType="end"/>
          </w:r>
        </w:sdtContent>
      </w:sdt>
    </w:p>
    <w:p w14:paraId="0ECCDDDF" w14:textId="77777777" w:rsidR="006145A3" w:rsidRPr="00501540" w:rsidRDefault="006145A3" w:rsidP="006145A3">
      <w:pPr>
        <w:pStyle w:val="Heading3"/>
        <w:numPr>
          <w:ilvl w:val="2"/>
          <w:numId w:val="22"/>
        </w:numPr>
        <w:rPr>
          <w:rFonts w:ascii="Times New Roman" w:hAnsi="Times New Roman" w:cs="Times New Roman"/>
          <w:lang w:val="en-US"/>
        </w:rPr>
      </w:pPr>
      <w:r>
        <w:rPr>
          <w:rFonts w:ascii="Times New Roman" w:hAnsi="Times New Roman" w:cs="Times New Roman"/>
          <w:lang w:val="en-US"/>
        </w:rPr>
        <w:t>Song and chant</w:t>
      </w:r>
    </w:p>
    <w:p w14:paraId="64687AF8" w14:textId="77777777" w:rsidR="006145A3" w:rsidRPr="009A29F0" w:rsidRDefault="006145A3" w:rsidP="006145A3">
      <w:pPr>
        <w:pStyle w:val="Para0"/>
      </w:pPr>
      <w:r w:rsidRPr="009A29F0">
        <w:t xml:space="preserve">Song and chant is an integral part of Māori culture, both traditional and modern. Within Māori culture, music fulfils many and complex roles, from the vital </w:t>
      </w:r>
      <w:r w:rsidRPr="008571B5">
        <w:rPr>
          <w:i/>
        </w:rPr>
        <w:t>tapu</w:t>
      </w:r>
      <w:r w:rsidRPr="009A29F0">
        <w:t xml:space="preserve"> (sacred) ritual to a more everyday, social belonging and group identity function </w:t>
      </w:r>
      <w:sdt>
        <w:sdtPr>
          <w:id w:val="1999610519"/>
          <w:citation/>
        </w:sdtPr>
        <w:sdtEndPr/>
        <w:sdtContent>
          <w:r>
            <w:fldChar w:fldCharType="begin"/>
          </w:r>
          <w:r>
            <w:instrText xml:space="preserve"> CITATION Cle15 \l 2057 </w:instrText>
          </w:r>
          <w:r>
            <w:fldChar w:fldCharType="separate"/>
          </w:r>
          <w:r w:rsidRPr="000E7489">
            <w:rPr>
              <w:noProof/>
            </w:rPr>
            <w:t>(</w:t>
          </w:r>
          <w:bookmarkStart w:id="60" w:name="Cle15_29"/>
          <w:r w:rsidRPr="000E7489">
            <w:rPr>
              <w:noProof/>
            </w:rPr>
            <w:t>Clements, 2015</w:t>
          </w:r>
          <w:r w:rsidRPr="000E7489">
            <w:rPr>
              <w:noProof/>
              <w:vertAlign w:val="subscript"/>
            </w:rPr>
            <w:t>[29]</w:t>
          </w:r>
          <w:r w:rsidRPr="000E7489">
            <w:rPr>
              <w:noProof/>
            </w:rPr>
            <w:t>)</w:t>
          </w:r>
          <w:bookmarkEnd w:id="60"/>
          <w:r>
            <w:fldChar w:fldCharType="end"/>
          </w:r>
        </w:sdtContent>
      </w:sdt>
      <w:r w:rsidRPr="009A29F0">
        <w:t>. Music is considered a major force for social cohesion which has operated within Māori culture for centuries, sustaining and maintaining it:</w:t>
      </w:r>
    </w:p>
    <w:p w14:paraId="17425676" w14:textId="77777777" w:rsidR="006145A3" w:rsidRPr="00EB5076" w:rsidRDefault="006145A3" w:rsidP="006145A3">
      <w:pPr>
        <w:pStyle w:val="Quote"/>
      </w:pPr>
      <w:r w:rsidRPr="00EB5076">
        <w:t xml:space="preserve">According to Māori mythology, as soon as the gods turned night into light, they turned light into music. As life began, it brought with it the complexities of the lived experience that are most easily and adequately expressed through music. All Māori </w:t>
      </w:r>
      <w:r w:rsidRPr="008571B5">
        <w:rPr>
          <w:i w:val="0"/>
        </w:rPr>
        <w:t>waiata</w:t>
      </w:r>
      <w:r w:rsidRPr="00EB5076">
        <w:t xml:space="preserve"> (songs) stem from the emotions that the gods displayed during creation. </w:t>
      </w:r>
    </w:p>
    <w:p w14:paraId="66FBA297" w14:textId="77777777" w:rsidR="006145A3" w:rsidRPr="00EB5076" w:rsidRDefault="008D0BBE" w:rsidP="006145A3">
      <w:pPr>
        <w:pStyle w:val="Quote"/>
      </w:pPr>
      <w:sdt>
        <w:sdtPr>
          <w:id w:val="-1846556161"/>
          <w:citation/>
        </w:sdtPr>
        <w:sdtEndPr/>
        <w:sdtContent>
          <w:r w:rsidR="006145A3">
            <w:fldChar w:fldCharType="begin"/>
          </w:r>
          <w:r w:rsidR="006145A3">
            <w:instrText xml:space="preserve"> CITATION Cle15 \l 2057 </w:instrText>
          </w:r>
          <w:r w:rsidR="006145A3">
            <w:fldChar w:fldCharType="separate"/>
          </w:r>
          <w:r w:rsidR="006145A3" w:rsidRPr="000E7489">
            <w:rPr>
              <w:noProof/>
            </w:rPr>
            <w:t>(Clements, 2015</w:t>
          </w:r>
          <w:r w:rsidR="006145A3" w:rsidRPr="000E7489">
            <w:rPr>
              <w:noProof/>
              <w:vertAlign w:val="subscript"/>
            </w:rPr>
            <w:t>[29]</w:t>
          </w:r>
          <w:r w:rsidR="006145A3" w:rsidRPr="000E7489">
            <w:rPr>
              <w:noProof/>
            </w:rPr>
            <w:t>)</w:t>
          </w:r>
          <w:r w:rsidR="006145A3">
            <w:fldChar w:fldCharType="end"/>
          </w:r>
        </w:sdtContent>
      </w:sdt>
    </w:p>
    <w:p w14:paraId="5E995DC2" w14:textId="77777777" w:rsidR="006145A3" w:rsidRPr="009A29F0" w:rsidRDefault="006145A3" w:rsidP="006145A3">
      <w:pPr>
        <w:pStyle w:val="Para0"/>
      </w:pPr>
      <w:r w:rsidRPr="009A29F0">
        <w:t xml:space="preserve">For Australian Aboriginal people, songs have traditionally been central to expressing spirituality. Clint Bracknell, an Aboriginal researcher, articulates the powerful role which language-in-song has in his culture: </w:t>
      </w:r>
    </w:p>
    <w:p w14:paraId="3CAED2B0" w14:textId="77777777" w:rsidR="006145A3" w:rsidRPr="00EB5076" w:rsidRDefault="006145A3" w:rsidP="006145A3">
      <w:pPr>
        <w:pStyle w:val="Quote"/>
      </w:pPr>
      <w:r w:rsidRPr="00EB5076">
        <w:t xml:space="preserve">Indeed, at a deeper cultural level, ancestral Aboriginal songs can hold significant functional power. They can both heal or inflict injury, and are capable of creation and destruction, affecting changes in the physical world. </w:t>
      </w:r>
    </w:p>
    <w:p w14:paraId="19D58368" w14:textId="77777777" w:rsidR="006145A3" w:rsidRPr="00EB5076" w:rsidRDefault="008D0BBE" w:rsidP="006145A3">
      <w:pPr>
        <w:pStyle w:val="Quote"/>
      </w:pPr>
      <w:sdt>
        <w:sdtPr>
          <w:id w:val="-1817797765"/>
          <w:citation/>
        </w:sdtPr>
        <w:sdtEndPr/>
        <w:sdtContent>
          <w:r w:rsidR="006145A3">
            <w:fldChar w:fldCharType="begin"/>
          </w:r>
          <w:r w:rsidR="006145A3">
            <w:instrText xml:space="preserve"> CITATION Bra17 \l 2057 </w:instrText>
          </w:r>
          <w:r w:rsidR="006145A3">
            <w:fldChar w:fldCharType="separate"/>
          </w:r>
          <w:r w:rsidR="006145A3" w:rsidRPr="000E7489">
            <w:rPr>
              <w:noProof/>
            </w:rPr>
            <w:t>(</w:t>
          </w:r>
          <w:bookmarkStart w:id="61" w:name="Bra17_30"/>
          <w:r w:rsidR="006145A3" w:rsidRPr="000E7489">
            <w:rPr>
              <w:noProof/>
            </w:rPr>
            <w:t>Bracknell, 2017</w:t>
          </w:r>
          <w:r w:rsidR="006145A3" w:rsidRPr="000E7489">
            <w:rPr>
              <w:noProof/>
              <w:vertAlign w:val="subscript"/>
            </w:rPr>
            <w:t>[30]</w:t>
          </w:r>
          <w:r w:rsidR="006145A3" w:rsidRPr="000E7489">
            <w:rPr>
              <w:noProof/>
            </w:rPr>
            <w:t>)</w:t>
          </w:r>
          <w:bookmarkEnd w:id="61"/>
          <w:r w:rsidR="006145A3">
            <w:fldChar w:fldCharType="end"/>
          </w:r>
        </w:sdtContent>
      </w:sdt>
    </w:p>
    <w:p w14:paraId="2F1EDB9D" w14:textId="77777777" w:rsidR="006145A3" w:rsidRPr="00231325" w:rsidRDefault="006145A3" w:rsidP="006145A3">
      <w:pPr>
        <w:pStyle w:val="Para0"/>
      </w:pPr>
      <w:r w:rsidRPr="00231325">
        <w:t xml:space="preserve">Shayne Williams, another Australian Aboriginal researcher, links language of songs to spirituality and connection with traditional lands: </w:t>
      </w:r>
    </w:p>
    <w:p w14:paraId="4DDBDDAB" w14:textId="77777777" w:rsidR="006145A3" w:rsidRPr="00EB5076" w:rsidRDefault="006145A3" w:rsidP="006145A3">
      <w:pPr>
        <w:pStyle w:val="Quote"/>
      </w:pPr>
      <w:r w:rsidRPr="00EB5076">
        <w:t xml:space="preserve">The highly secret, intense and experiential spirit language of song is usually communicated within specific time space such as dream and in a vocabulary specific to the spirit communicator. These songs are sung usually by those persons who are highly ranked as spirit knowledge holders and who transmit ceremonially through the spiritual praxis of country. </w:t>
      </w:r>
    </w:p>
    <w:p w14:paraId="06D3B57A" w14:textId="4A3879B5" w:rsidR="006145A3" w:rsidRPr="00EB5076" w:rsidRDefault="008D0BBE" w:rsidP="006145A3">
      <w:pPr>
        <w:pStyle w:val="Quote"/>
      </w:pPr>
      <w:sdt>
        <w:sdtPr>
          <w:id w:val="2144614306"/>
          <w:citation/>
        </w:sdtPr>
        <w:sdtEndPr/>
        <w:sdtContent>
          <w:r w:rsidR="006145A3">
            <w:fldChar w:fldCharType="begin"/>
          </w:r>
          <w:r w:rsidR="00EB70A8">
            <w:instrText xml:space="preserve">CITATION Wil11 \l 2057 </w:instrText>
          </w:r>
          <w:r w:rsidR="006145A3">
            <w:fldChar w:fldCharType="separate"/>
          </w:r>
          <w:r w:rsidR="00EB70A8" w:rsidRPr="00EB70A8">
            <w:rPr>
              <w:noProof/>
            </w:rPr>
            <w:t>(Williams, 2011</w:t>
          </w:r>
          <w:r w:rsidR="00EB70A8" w:rsidRPr="00EB70A8">
            <w:rPr>
              <w:noProof/>
              <w:vertAlign w:val="subscript"/>
            </w:rPr>
            <w:t>[33]</w:t>
          </w:r>
          <w:r w:rsidR="00EB70A8" w:rsidRPr="00EB70A8">
            <w:rPr>
              <w:noProof/>
            </w:rPr>
            <w:t>)</w:t>
          </w:r>
          <w:r w:rsidR="006145A3">
            <w:fldChar w:fldCharType="end"/>
          </w:r>
        </w:sdtContent>
      </w:sdt>
    </w:p>
    <w:p w14:paraId="02E5C052" w14:textId="77777777" w:rsidR="006145A3" w:rsidRPr="00501540" w:rsidRDefault="006145A3" w:rsidP="006145A3">
      <w:pPr>
        <w:pStyle w:val="Heading3"/>
        <w:numPr>
          <w:ilvl w:val="2"/>
          <w:numId w:val="22"/>
        </w:numPr>
        <w:rPr>
          <w:rFonts w:ascii="Times New Roman" w:hAnsi="Times New Roman" w:cs="Times New Roman"/>
          <w:lang w:val="en-US"/>
        </w:rPr>
      </w:pPr>
      <w:r w:rsidRPr="00501540">
        <w:rPr>
          <w:rFonts w:ascii="Times New Roman" w:hAnsi="Times New Roman" w:cs="Times New Roman"/>
          <w:lang w:val="en-US"/>
        </w:rPr>
        <w:lastRenderedPageBreak/>
        <w:t>Story</w:t>
      </w:r>
    </w:p>
    <w:p w14:paraId="430FC9B4" w14:textId="77777777" w:rsidR="006145A3" w:rsidRPr="00231325" w:rsidRDefault="006145A3" w:rsidP="006145A3">
      <w:pPr>
        <w:pStyle w:val="Para0"/>
      </w:pPr>
      <w:r w:rsidRPr="00231325">
        <w:t>Like song, story has a time-honoured place in Indigenous oral traditions. Story can range across different topics with differen</w:t>
      </w:r>
      <w:r>
        <w:t>t levels of accessibility (i.e. </w:t>
      </w:r>
      <w:r w:rsidRPr="00231325">
        <w:t xml:space="preserve">from public to restricted). </w:t>
      </w:r>
    </w:p>
    <w:p w14:paraId="4FB9D5E9" w14:textId="77777777" w:rsidR="006145A3" w:rsidRPr="008571B5" w:rsidRDefault="006145A3" w:rsidP="006145A3">
      <w:pPr>
        <w:pStyle w:val="Para0"/>
      </w:pPr>
      <w:r w:rsidRPr="008571B5">
        <w:t xml:space="preserve">Canadian </w:t>
      </w:r>
      <w:r w:rsidRPr="008571B5">
        <w:rPr>
          <w:rStyle w:val="QuoteChar"/>
          <w:rFonts w:asciiTheme="minorHAnsi" w:hAnsiTheme="minorHAnsi"/>
          <w:i w:val="0"/>
          <w:iCs w:val="0"/>
        </w:rPr>
        <w:t>Sahtúgot'ı̨ nę educator</w:t>
      </w:r>
      <w:r w:rsidRPr="008571B5">
        <w:t xml:space="preserve"> Fibbie Tatti writes:</w:t>
      </w:r>
    </w:p>
    <w:p w14:paraId="27501C1F" w14:textId="77777777" w:rsidR="006145A3" w:rsidRPr="00EB5076" w:rsidRDefault="006145A3" w:rsidP="006145A3">
      <w:pPr>
        <w:pStyle w:val="Quote"/>
      </w:pPr>
      <w:r w:rsidRPr="00EB5076">
        <w:t>My father once told me that stories are retold to continue the flow of information. In this way our people will always know who they are, where they come from and the importance of maintaining the traditions of our people based on traditional knowledge and the importance of the Sahtúgot'ı</w:t>
      </w:r>
      <w:r w:rsidRPr="00EB5076">
        <w:rPr>
          <w:rFonts w:ascii="Arial" w:hAnsi="Arial" w:cs="Arial"/>
        </w:rPr>
        <w:t>̨</w:t>
      </w:r>
      <w:r w:rsidRPr="00EB5076">
        <w:t xml:space="preserve"> ne</w:t>
      </w:r>
      <w:r w:rsidRPr="00EB5076">
        <w:rPr>
          <w:rFonts w:ascii="Arial" w:hAnsi="Arial" w:cs="Arial"/>
        </w:rPr>
        <w:t>̨</w:t>
      </w:r>
      <w:r w:rsidRPr="00EB5076">
        <w:t xml:space="preserve"> language which encompasses and holds within it the sacred meanings and practices. Without these understandings and practices, the language encompassing these meanings becomes lost. We are losing our elders and with them we are losing all the knowledge that they carry. Most importantly our younger generation will lose that critical opportunity to learn about themselves and their people and become the people they are meant to be. We are the carriers of our people's knowledge and we have the responsibility to ensure that it is carried forward as it was intended. </w:t>
      </w:r>
    </w:p>
    <w:p w14:paraId="475387E2" w14:textId="77777777" w:rsidR="006145A3" w:rsidRPr="00EB5076" w:rsidRDefault="008D0BBE" w:rsidP="006145A3">
      <w:pPr>
        <w:pStyle w:val="Quote"/>
      </w:pPr>
      <w:sdt>
        <w:sdtPr>
          <w:id w:val="1529613469"/>
          <w:citation/>
        </w:sdtPr>
        <w:sdtEndPr/>
        <w:sdtContent>
          <w:r w:rsidR="006145A3">
            <w:fldChar w:fldCharType="begin"/>
          </w:r>
          <w:r w:rsidR="006145A3">
            <w:instrText xml:space="preserve"> CITATION Tat15 \l 2057 </w:instrText>
          </w:r>
          <w:r w:rsidR="006145A3">
            <w:fldChar w:fldCharType="separate"/>
          </w:r>
          <w:r w:rsidR="006145A3" w:rsidRPr="00A267EF">
            <w:rPr>
              <w:noProof/>
            </w:rPr>
            <w:t>(</w:t>
          </w:r>
          <w:bookmarkStart w:id="62" w:name="Tat15_32"/>
          <w:r w:rsidR="006145A3" w:rsidRPr="00A267EF">
            <w:rPr>
              <w:noProof/>
            </w:rPr>
            <w:t>Tatti, 2015</w:t>
          </w:r>
          <w:r w:rsidR="006145A3" w:rsidRPr="00A267EF">
            <w:rPr>
              <w:noProof/>
              <w:vertAlign w:val="subscript"/>
            </w:rPr>
            <w:t>[32]</w:t>
          </w:r>
          <w:r w:rsidR="006145A3" w:rsidRPr="00A267EF">
            <w:rPr>
              <w:noProof/>
            </w:rPr>
            <w:t>)</w:t>
          </w:r>
          <w:bookmarkEnd w:id="62"/>
          <w:r w:rsidR="006145A3">
            <w:fldChar w:fldCharType="end"/>
          </w:r>
        </w:sdtContent>
      </w:sdt>
    </w:p>
    <w:p w14:paraId="6A90D2E6" w14:textId="77777777" w:rsidR="006145A3" w:rsidRPr="00501540" w:rsidRDefault="006145A3" w:rsidP="006145A3">
      <w:pPr>
        <w:pStyle w:val="Heading3"/>
        <w:numPr>
          <w:ilvl w:val="2"/>
          <w:numId w:val="22"/>
        </w:numPr>
        <w:rPr>
          <w:rFonts w:ascii="Times New Roman" w:hAnsi="Times New Roman" w:cs="Times New Roman"/>
          <w:lang w:val="en-US"/>
        </w:rPr>
      </w:pPr>
      <w:r w:rsidRPr="00501540">
        <w:rPr>
          <w:rFonts w:ascii="Times New Roman" w:hAnsi="Times New Roman" w:cs="Times New Roman"/>
          <w:lang w:val="en-US"/>
        </w:rPr>
        <w:t>Dance</w:t>
      </w:r>
    </w:p>
    <w:p w14:paraId="50F7ADAD" w14:textId="5E644C79" w:rsidR="006145A3" w:rsidRPr="00231325" w:rsidRDefault="006145A3" w:rsidP="006145A3">
      <w:pPr>
        <w:pStyle w:val="Para0"/>
      </w:pPr>
      <w:r w:rsidRPr="003A2E43">
        <w:t xml:space="preserve">Dances (typically accompanied by singing in traditional languages) have a variety of purposes. Some are passed down through generations, some are more recently created. </w:t>
      </w:r>
      <w:r w:rsidR="00802DDB">
        <w:t xml:space="preserve">Among Torre Strait Island people, dance is </w:t>
      </w:r>
      <w:r w:rsidRPr="003A2E43">
        <w:t>a source of pan-Torres Strait identity and pride</w:t>
      </w:r>
      <w:r>
        <w:t xml:space="preserve">, </w:t>
      </w:r>
      <w:r w:rsidR="00802DDB">
        <w:t xml:space="preserve">but also </w:t>
      </w:r>
      <w:r w:rsidRPr="003A2E43">
        <w:t>have recognisable attributes of individual Torres Strait islands. They are a valued vehicle for performing in traditional Torres</w:t>
      </w:r>
      <w:r w:rsidRPr="00231325">
        <w:t xml:space="preserve"> Strait Islander languages</w:t>
      </w:r>
      <w:r w:rsidR="00802DDB">
        <w:t xml:space="preserve"> and represent deep local knowledges</w:t>
      </w:r>
      <w:r w:rsidRPr="00231325">
        <w:t>:</w:t>
      </w:r>
    </w:p>
    <w:p w14:paraId="48CEA3CF" w14:textId="77777777" w:rsidR="006145A3" w:rsidRPr="00EB5076" w:rsidRDefault="006145A3" w:rsidP="006145A3">
      <w:pPr>
        <w:pStyle w:val="Quote"/>
      </w:pPr>
      <w:r w:rsidRPr="00EB5076">
        <w:t xml:space="preserve">Some of the songs are composed to explain the many faces of the Torres Strait weather and there are songs composed about the movements of the heavenly bodies and the effects of the moon on the tides; this is astrology. There are songs composed about the many difference [sic] faces of clouds and its effect on the weather; this is meteorology. There are songs composed on the many myths and legends of the Torres Strait; this is mythology. There are songs composed to express the purpose of the marine lives in the sea; this </w:t>
      </w:r>
      <w:r>
        <w:t xml:space="preserve">is </w:t>
      </w:r>
      <w:r w:rsidRPr="00EB5076">
        <w:t>marine biology. There are songs composed on the many totemic gods and their practices; this is [sic]could be theology. And there are songs composed of certain events and important occasions; this is historical literature.</w:t>
      </w:r>
    </w:p>
    <w:p w14:paraId="3A6F0D7F" w14:textId="77777777" w:rsidR="006145A3" w:rsidRPr="00EB5076" w:rsidRDefault="008D0BBE" w:rsidP="006145A3">
      <w:pPr>
        <w:pStyle w:val="Quote"/>
      </w:pPr>
      <w:sdt>
        <w:sdtPr>
          <w:id w:val="-2002647948"/>
          <w:citation/>
        </w:sdtPr>
        <w:sdtEndPr/>
        <w:sdtContent>
          <w:r w:rsidR="006145A3">
            <w:fldChar w:fldCharType="begin"/>
          </w:r>
          <w:r w:rsidR="006145A3">
            <w:instrText xml:space="preserve"> CITATION Ban79 \l 2057 </w:instrText>
          </w:r>
          <w:r w:rsidR="006145A3">
            <w:fldChar w:fldCharType="separate"/>
          </w:r>
          <w:r w:rsidR="006145A3" w:rsidRPr="00A267EF">
            <w:rPr>
              <w:noProof/>
            </w:rPr>
            <w:t>(</w:t>
          </w:r>
          <w:bookmarkStart w:id="63" w:name="Ban79_33"/>
          <w:r w:rsidR="006145A3" w:rsidRPr="00A267EF">
            <w:rPr>
              <w:noProof/>
            </w:rPr>
            <w:t>Bani, 1979</w:t>
          </w:r>
          <w:r w:rsidR="006145A3" w:rsidRPr="00A267EF">
            <w:rPr>
              <w:noProof/>
              <w:vertAlign w:val="subscript"/>
            </w:rPr>
            <w:t>[33]</w:t>
          </w:r>
          <w:r w:rsidR="006145A3" w:rsidRPr="00A267EF">
            <w:rPr>
              <w:noProof/>
            </w:rPr>
            <w:t>)</w:t>
          </w:r>
          <w:bookmarkEnd w:id="63"/>
          <w:r w:rsidR="006145A3">
            <w:fldChar w:fldCharType="end"/>
          </w:r>
        </w:sdtContent>
      </w:sdt>
    </w:p>
    <w:p w14:paraId="51659E0C" w14:textId="77777777" w:rsidR="006145A3" w:rsidRPr="00501540" w:rsidRDefault="006145A3" w:rsidP="006145A3">
      <w:pPr>
        <w:pStyle w:val="Heading3"/>
        <w:numPr>
          <w:ilvl w:val="2"/>
          <w:numId w:val="22"/>
        </w:numPr>
        <w:rPr>
          <w:rFonts w:ascii="Times New Roman" w:hAnsi="Times New Roman" w:cs="Times New Roman"/>
          <w:lang w:val="en-US"/>
        </w:rPr>
      </w:pPr>
      <w:r w:rsidRPr="00501540">
        <w:rPr>
          <w:rFonts w:ascii="Times New Roman" w:hAnsi="Times New Roman" w:cs="Times New Roman"/>
          <w:lang w:val="en-US"/>
        </w:rPr>
        <w:t>Gesture and hand sign</w:t>
      </w:r>
    </w:p>
    <w:p w14:paraId="426D1531" w14:textId="77777777" w:rsidR="006145A3" w:rsidRPr="003A2E43" w:rsidRDefault="006145A3" w:rsidP="006145A3">
      <w:pPr>
        <w:pStyle w:val="Para0"/>
      </w:pPr>
      <w:r w:rsidRPr="00231325">
        <w:t xml:space="preserve">A </w:t>
      </w:r>
      <w:r w:rsidRPr="003A2E43">
        <w:t>distinctive communication medium for many Indigenous groups is gesture or hand signs. In some circumstances, these are the main means o</w:t>
      </w:r>
      <w:r>
        <w:t>f communication for people, as “</w:t>
      </w:r>
      <w:r w:rsidRPr="003A2E43">
        <w:t>Inuit Uukturausingit</w:t>
      </w:r>
      <w:r>
        <w:t>”</w:t>
      </w:r>
      <w:r w:rsidRPr="003A2E43">
        <w:t xml:space="preserve"> (Inuit Sign Language) is for deaf Inuit in Nunavut, Canada. More generally, Indigenous groups may have a system of codified gestures, which outsiders would need to learn before being able to interpret them. </w:t>
      </w:r>
    </w:p>
    <w:p w14:paraId="6DD2C2AD" w14:textId="77777777" w:rsidR="006145A3" w:rsidRPr="003A2E43" w:rsidRDefault="006145A3" w:rsidP="006145A3">
      <w:pPr>
        <w:pStyle w:val="Para0"/>
      </w:pPr>
      <w:r w:rsidRPr="003A2E43">
        <w:t>April Campbell explains in her language, Central Anma</w:t>
      </w:r>
      <w:r>
        <w:t>tyerr (Central Australia), how “hand signs”</w:t>
      </w:r>
      <w:r w:rsidRPr="003A2E43">
        <w:t xml:space="preserve"> are used (the English translation follows): </w:t>
      </w:r>
    </w:p>
    <w:p w14:paraId="49836ACC" w14:textId="77777777" w:rsidR="006145A3" w:rsidRPr="008571B5" w:rsidRDefault="006145A3" w:rsidP="006145A3">
      <w:pPr>
        <w:pStyle w:val="Quote"/>
        <w:rPr>
          <w:i w:val="0"/>
        </w:rPr>
      </w:pPr>
      <w:r w:rsidRPr="008571B5">
        <w:rPr>
          <w:i w:val="0"/>
        </w:rPr>
        <w:t>Iltyem-iltyemel anwern angkem nheng amerneh arlka. And thamptheng apaywenherremel amernarl. Tyerrty nhak apek ntwarr angerr arlkemarl, ntwarreng apekarl arem, kel iltyem-iltyemarl angkem tyerrty nhakeh anwern. Tyerrty ahert mapeh anwern iltyem-iltyem angkem – merneh arlka apek petyetyeh arlka apek nheng mern arlkwetyeh, tea arlka apek arlkwetyeh anetyeh apek war. War anwern iltyem-iltyem angkem.</w:t>
      </w:r>
    </w:p>
    <w:p w14:paraId="51A4E901" w14:textId="77777777" w:rsidR="006145A3" w:rsidRPr="008571B5" w:rsidRDefault="006145A3" w:rsidP="006145A3">
      <w:pPr>
        <w:pStyle w:val="Quote"/>
        <w:rPr>
          <w:i w:val="0"/>
        </w:rPr>
      </w:pPr>
      <w:r w:rsidRPr="008571B5">
        <w:rPr>
          <w:i w:val="0"/>
        </w:rPr>
        <w:t>Kwer mapeh arlka anwern iltyem-iltyem angkem. Nheng kereng arlka apek anwern ntertelh-ilem, nheng-lkwer anwern ntertelh-ilem: 'Ntert-irrang kwenh aherreng kwenh!' Iltyem-iltyem anwern angkem. Anwern apek ywerlt-irrem, tyerrty arrpenh map ywerlt-irrem wal iltyem iltyemarl angkem. Thamptheng tey arlka apek mern apek angetyetyeh, wal iltyem-iltyemarl angkem. Nheng tyerrty aywerlt apek or warlekwert apek nheng husband apek lose-em-ilem. Not angkem athew warlekwertan or ywerlt apek, itya.</w:t>
      </w:r>
    </w:p>
    <w:p w14:paraId="3E8B9D7C" w14:textId="77777777" w:rsidR="006145A3" w:rsidRPr="00EB5076" w:rsidRDefault="006145A3" w:rsidP="006145A3">
      <w:pPr>
        <w:pStyle w:val="Quote"/>
      </w:pPr>
      <w:r w:rsidRPr="00EB5076">
        <w:lastRenderedPageBreak/>
        <w:t>We ask for food and things like that using hand signs. Or if we see a person calling out in the distance then we use hand signs to speak with that person. We use hand signs to talk to people who are deaf – to talk about food, or to ask them to come over to eat or drink tea or sit down with us. We just use hand signs.</w:t>
      </w:r>
    </w:p>
    <w:p w14:paraId="0D257AE3" w14:textId="77777777" w:rsidR="006145A3" w:rsidRPr="00EB5076" w:rsidRDefault="006145A3" w:rsidP="006145A3">
      <w:pPr>
        <w:pStyle w:val="Quote"/>
      </w:pPr>
      <w:r w:rsidRPr="00EB5076">
        <w:t>We also use hand signs with kids, to quieten them down</w:t>
      </w:r>
      <w:r>
        <w:t xml:space="preserve"> when we are hunting. We sign, “</w:t>
      </w:r>
      <w:r w:rsidRPr="00EB5076">
        <w:t>Be q</w:t>
      </w:r>
      <w:r>
        <w:t>uiet, there's a kangaroo there!”</w:t>
      </w:r>
      <w:r w:rsidRPr="00EB5076">
        <w:t xml:space="preserve"> We use hand signs for that. And we use hand signs when someone is bereaved. If someone loses a child, then they use hand signs to ask for things such as tea or food. They use hand signs. Somebody who has lost a child, or a woman who has lost her husband. Widows and those whose child has passed away are not allowed to speak.</w:t>
      </w:r>
    </w:p>
    <w:p w14:paraId="71E80BF6" w14:textId="77777777" w:rsidR="006145A3" w:rsidRPr="00EB5076" w:rsidRDefault="006145A3" w:rsidP="006145A3">
      <w:pPr>
        <w:pStyle w:val="Quote"/>
      </w:pPr>
      <w:r w:rsidRPr="00EB5076">
        <w:t xml:space="preserve">April Campbell, quoted in Green </w:t>
      </w:r>
      <w:sdt>
        <w:sdtPr>
          <w:id w:val="994227834"/>
          <w:citation/>
        </w:sdtPr>
        <w:sdtEndPr/>
        <w:sdtContent>
          <w:r>
            <w:fldChar w:fldCharType="begin"/>
          </w:r>
          <w:r>
            <w:instrText xml:space="preserve">CITATION Gre10 \n  \l 2057 </w:instrText>
          </w:r>
          <w:r>
            <w:fldChar w:fldCharType="separate"/>
          </w:r>
          <w:r w:rsidRPr="008F3426">
            <w:rPr>
              <w:noProof/>
            </w:rPr>
            <w:t>(2010</w:t>
          </w:r>
          <w:r w:rsidRPr="008F3426">
            <w:rPr>
              <w:noProof/>
              <w:vertAlign w:val="subscript"/>
            </w:rPr>
            <w:t>[34]</w:t>
          </w:r>
          <w:r w:rsidRPr="008F3426">
            <w:rPr>
              <w:noProof/>
            </w:rPr>
            <w:t>)</w:t>
          </w:r>
          <w:r>
            <w:fldChar w:fldCharType="end"/>
          </w:r>
        </w:sdtContent>
      </w:sdt>
    </w:p>
    <w:p w14:paraId="6E1FD0BA" w14:textId="77777777" w:rsidR="006145A3" w:rsidRPr="00EE5858" w:rsidRDefault="006145A3" w:rsidP="006145A3">
      <w:pPr>
        <w:pStyle w:val="Heading2"/>
        <w:numPr>
          <w:ilvl w:val="1"/>
          <w:numId w:val="22"/>
        </w:numPr>
      </w:pPr>
      <w:bookmarkStart w:id="64" w:name="_Ref39052801"/>
      <w:bookmarkStart w:id="65" w:name="_Ref39131963"/>
      <w:bookmarkStart w:id="66" w:name="_Toc82093560"/>
      <w:bookmarkStart w:id="67" w:name="_Toc95824099"/>
      <w:r>
        <w:t>C</w:t>
      </w:r>
      <w:r w:rsidRPr="00EE5858">
        <w:t xml:space="preserve">ultural </w:t>
      </w:r>
      <w:r w:rsidRPr="003E04DC">
        <w:t>identity</w:t>
      </w:r>
      <w:bookmarkEnd w:id="64"/>
      <w:bookmarkEnd w:id="65"/>
      <w:bookmarkEnd w:id="66"/>
      <w:bookmarkEnd w:id="67"/>
    </w:p>
    <w:p w14:paraId="55977338" w14:textId="77777777" w:rsidR="006145A3" w:rsidRPr="009A29F0" w:rsidRDefault="006145A3" w:rsidP="006145A3">
      <w:pPr>
        <w:pStyle w:val="Para0"/>
      </w:pPr>
      <w:r w:rsidRPr="009A29F0">
        <w:t xml:space="preserve">Traditional Indigenous languages are considered by many Indigenous peoples as an important facet of their identity and cultural heritage. They have expressed their view that their languages are significant to them, whether they are acquired from childhood as first languages or they are being learned gradually from Elders or through formal lessons, or they are being painstakingly reawakened, or even if they were taken away and are still sleeping. </w:t>
      </w:r>
    </w:p>
    <w:p w14:paraId="2E2C0ABB" w14:textId="77777777" w:rsidR="006145A3" w:rsidRPr="009A29F0" w:rsidRDefault="006145A3" w:rsidP="006145A3">
      <w:pPr>
        <w:pStyle w:val="Para0"/>
      </w:pPr>
      <w:r w:rsidRPr="005719D0">
        <w:t>In New</w:t>
      </w:r>
      <w:r>
        <w:t> </w:t>
      </w:r>
      <w:r w:rsidRPr="005719D0">
        <w:t xml:space="preserve">Zealand, the key role of </w:t>
      </w:r>
      <w:r w:rsidRPr="00A9006F">
        <w:rPr>
          <w:i/>
          <w:iCs/>
        </w:rPr>
        <w:t>te reo Māori</w:t>
      </w:r>
      <w:r w:rsidRPr="005719D0">
        <w:t xml:space="preserve"> for </w:t>
      </w:r>
      <w:r w:rsidRPr="009A29F0">
        <w:t xml:space="preserve">Māori culture and identity is acknowledged by government institutions. This acknowledgement is across the board, regardless of a Māori individual's present proficiency. Just as with many Indigenous languages, some Māori families and communities include fully proficient Māori speakers, while in others a shift in language use occurred in previous generations, so Māori is being learned as a second/additional language to English. The significance of </w:t>
      </w:r>
      <w:r w:rsidRPr="00A9006F">
        <w:rPr>
          <w:i/>
          <w:iCs/>
        </w:rPr>
        <w:t>te reo Māori</w:t>
      </w:r>
      <w:r w:rsidRPr="009A29F0">
        <w:t xml:space="preserve"> for New Zealand's national identity is also recognised by government:</w:t>
      </w:r>
    </w:p>
    <w:p w14:paraId="6AA4642C" w14:textId="77777777" w:rsidR="006145A3" w:rsidRPr="00932C9D" w:rsidRDefault="006145A3" w:rsidP="006145A3">
      <w:pPr>
        <w:pStyle w:val="Quote"/>
      </w:pPr>
      <w:r w:rsidRPr="00932C9D">
        <w:t>Māori language is a central component of Māori culture, and an important aspect of participation and identity. It also forms part of the broader cultural identity and heritage of New</w:t>
      </w:r>
      <w:r>
        <w:t> </w:t>
      </w:r>
      <w:r w:rsidRPr="00932C9D">
        <w:t>Zealand. In 1987, the Māori language was recognised as an official New</w:t>
      </w:r>
      <w:r>
        <w:t> </w:t>
      </w:r>
      <w:r w:rsidRPr="00932C9D">
        <w:t xml:space="preserve">Zealand language. </w:t>
      </w:r>
    </w:p>
    <w:p w14:paraId="3FA3EDB0" w14:textId="77777777" w:rsidR="006145A3" w:rsidRPr="00932C9D" w:rsidRDefault="008D0BBE" w:rsidP="006145A3">
      <w:pPr>
        <w:pStyle w:val="Quote"/>
      </w:pPr>
      <w:sdt>
        <w:sdtPr>
          <w:id w:val="344290363"/>
          <w:citation/>
        </w:sdtPr>
        <w:sdtEndPr/>
        <w:sdtContent>
          <w:r w:rsidR="006145A3">
            <w:fldChar w:fldCharType="begin"/>
          </w:r>
          <w:r w:rsidR="006145A3">
            <w:instrText xml:space="preserve">CITATION Min16 \p 179 \l 2057 </w:instrText>
          </w:r>
          <w:r w:rsidR="006145A3">
            <w:fldChar w:fldCharType="separate"/>
          </w:r>
          <w:r w:rsidR="006145A3" w:rsidRPr="008F3426">
            <w:rPr>
              <w:noProof/>
            </w:rPr>
            <w:t>(Ministry of Social Development, 2016, p. 179</w:t>
          </w:r>
          <w:r w:rsidR="006145A3" w:rsidRPr="008F3426">
            <w:rPr>
              <w:noProof/>
              <w:vertAlign w:val="subscript"/>
            </w:rPr>
            <w:t>[5]</w:t>
          </w:r>
          <w:r w:rsidR="006145A3" w:rsidRPr="008F3426">
            <w:rPr>
              <w:noProof/>
            </w:rPr>
            <w:t>)</w:t>
          </w:r>
          <w:r w:rsidR="006145A3">
            <w:fldChar w:fldCharType="end"/>
          </w:r>
        </w:sdtContent>
      </w:sdt>
    </w:p>
    <w:p w14:paraId="0EE23C87" w14:textId="77777777" w:rsidR="006145A3" w:rsidRPr="009A29F0" w:rsidRDefault="006145A3" w:rsidP="006145A3">
      <w:pPr>
        <w:pStyle w:val="Para0"/>
      </w:pPr>
      <w:r w:rsidRPr="009A29F0">
        <w:t>In Australia, the connection between Indigenous languages and cultural identity is explained for an Australian revival/reawakening context in this statement by the Victorian Aboriginal Corporation for Languages:</w:t>
      </w:r>
    </w:p>
    <w:p w14:paraId="1838B461" w14:textId="77777777" w:rsidR="006145A3" w:rsidRPr="005719D0" w:rsidRDefault="006145A3" w:rsidP="006145A3">
      <w:pPr>
        <w:pStyle w:val="Quote"/>
      </w:pPr>
      <w:r w:rsidRPr="009A29F0">
        <w:t>Language is important to Aboriginal people because it is a way for them to express their identity and be proud of where they come from and who they are.</w:t>
      </w:r>
      <w:r w:rsidRPr="005719D0">
        <w:t xml:space="preserve"> If a person knows a word in their language he/she is maintaining a link that has lasted thousands of years, keeping words alive that have been used by their ancestors - language is an ancestral right and it distinguishes something special about Aboriginal people from non-Aboriginal people. Language is a part of culture, and knowledge about culture is a means of empowering people. Language contributes to the well-being of Aboriginal communities, strengthens ties between elders and young people and improves education in general for Indigenous people of all ages. </w:t>
      </w:r>
    </w:p>
    <w:p w14:paraId="526C9C98" w14:textId="77777777" w:rsidR="006145A3" w:rsidRPr="005719D0" w:rsidRDefault="006145A3" w:rsidP="006145A3">
      <w:pPr>
        <w:pStyle w:val="Quote"/>
      </w:pPr>
      <w:r w:rsidRPr="005719D0">
        <w:t xml:space="preserve">Victorian Aboriginal Corporation for Languages, </w:t>
      </w:r>
      <w:sdt>
        <w:sdtPr>
          <w:id w:val="-1551528270"/>
          <w:citation/>
        </w:sdtPr>
        <w:sdtEndPr/>
        <w:sdtContent>
          <w:r>
            <w:fldChar w:fldCharType="begin"/>
          </w:r>
          <w:r>
            <w:instrText xml:space="preserve">CITATION Vicnd \l 2057 </w:instrText>
          </w:r>
          <w:r>
            <w:fldChar w:fldCharType="separate"/>
          </w:r>
          <w:r w:rsidRPr="008F3426">
            <w:rPr>
              <w:noProof/>
            </w:rPr>
            <w:t>(</w:t>
          </w:r>
          <w:bookmarkStart w:id="68" w:name="Vicnd_35"/>
          <w:r w:rsidRPr="008F3426">
            <w:rPr>
              <w:noProof/>
            </w:rPr>
            <w:t>Victorian Aboriginal Corporation for Languages, n.d.</w:t>
          </w:r>
          <w:r w:rsidRPr="008F3426">
            <w:rPr>
              <w:noProof/>
              <w:vertAlign w:val="subscript"/>
            </w:rPr>
            <w:t>[35]</w:t>
          </w:r>
          <w:r w:rsidRPr="008F3426">
            <w:rPr>
              <w:noProof/>
            </w:rPr>
            <w:t>)</w:t>
          </w:r>
          <w:bookmarkEnd w:id="68"/>
          <w:r>
            <w:fldChar w:fldCharType="end"/>
          </w:r>
        </w:sdtContent>
      </w:sdt>
    </w:p>
    <w:p w14:paraId="2BC04544" w14:textId="75B00C28" w:rsidR="006145A3" w:rsidRPr="009A29F0" w:rsidRDefault="006145A3" w:rsidP="006145A3">
      <w:pPr>
        <w:pStyle w:val="Para0"/>
      </w:pPr>
      <w:r>
        <w:t>Multiple</w:t>
      </w:r>
      <w:r w:rsidRPr="005719D0">
        <w:t xml:space="preserve"> connections between </w:t>
      </w:r>
      <w:r w:rsidR="00802DDB">
        <w:t>Inuit l</w:t>
      </w:r>
      <w:r w:rsidRPr="009A29F0">
        <w:t>anguage and culture and identity are emphasised in the preamble to the Inuit Language Protection Act</w:t>
      </w:r>
      <w:bookmarkStart w:id="69" w:name="__Fieldmark__2404_224565148"/>
      <w:sdt>
        <w:sdtPr>
          <w:id w:val="-1049377791"/>
          <w:citation/>
        </w:sdtPr>
        <w:sdtEndPr/>
        <w:sdtContent>
          <w:r w:rsidRPr="008F3426">
            <w:fldChar w:fldCharType="begin"/>
          </w:r>
          <w:r w:rsidRPr="008F3426">
            <w:instrText xml:space="preserve"> CITATION Gov08 \l 2057 </w:instrText>
          </w:r>
          <w:r w:rsidRPr="008F3426">
            <w:fldChar w:fldCharType="separate"/>
          </w:r>
          <w:r w:rsidRPr="008F3426">
            <w:rPr>
              <w:noProof/>
            </w:rPr>
            <w:t xml:space="preserve"> (Government of Nunavut, 2008</w:t>
          </w:r>
          <w:r w:rsidRPr="008F3426">
            <w:rPr>
              <w:noProof/>
              <w:vertAlign w:val="subscript"/>
            </w:rPr>
            <w:t>[36]</w:t>
          </w:r>
          <w:r w:rsidRPr="008F3426">
            <w:rPr>
              <w:noProof/>
            </w:rPr>
            <w:t>)</w:t>
          </w:r>
          <w:r w:rsidRPr="008F3426">
            <w:fldChar w:fldCharType="end"/>
          </w:r>
        </w:sdtContent>
      </w:sdt>
      <w:bookmarkEnd w:id="69"/>
      <w:r w:rsidRPr="008F3426">
        <w:t>.</w:t>
      </w:r>
      <w:r w:rsidRPr="009A29F0">
        <w:t xml:space="preserve"> In Nunavut in Canada, language ecologies vary between those where Inuit language is still acquired as a mother tongue/first language by the majority of children and needs maintaining, to </w:t>
      </w:r>
      <w:r w:rsidR="00802DDB">
        <w:t xml:space="preserve">those </w:t>
      </w:r>
      <w:r w:rsidRPr="009A29F0">
        <w:t>where Inuit language is suffering a break in inter-generational transmission and is in need of revitalisation:</w:t>
      </w:r>
    </w:p>
    <w:p w14:paraId="0A2E1793" w14:textId="77777777" w:rsidR="006145A3" w:rsidRPr="00932C9D" w:rsidRDefault="006145A3" w:rsidP="006145A3">
      <w:pPr>
        <w:pStyle w:val="Quote"/>
      </w:pPr>
      <w:r w:rsidRPr="00932C9D">
        <w:t xml:space="preserve">Considering the importance of the Inuit Language </w:t>
      </w:r>
    </w:p>
    <w:p w14:paraId="254B1C06" w14:textId="77777777" w:rsidR="006145A3" w:rsidRPr="00932C9D" w:rsidRDefault="006145A3" w:rsidP="006145A3">
      <w:pPr>
        <w:pStyle w:val="Quote"/>
      </w:pPr>
      <w:r w:rsidRPr="00932C9D">
        <w:lastRenderedPageBreak/>
        <w:t xml:space="preserve">(a) as a cultural inheritance and ongoing expression of Inuit identity both in Nunavut communities and in the wider circumpolar world, </w:t>
      </w:r>
    </w:p>
    <w:p w14:paraId="4D7EDFCE" w14:textId="77777777" w:rsidR="006145A3" w:rsidRPr="00932C9D" w:rsidRDefault="006145A3" w:rsidP="006145A3">
      <w:pPr>
        <w:pStyle w:val="Quote"/>
      </w:pPr>
      <w:r w:rsidRPr="00932C9D">
        <w:t xml:space="preserve">(b) as the fundamental medium of personal and cultural expression through which Inuit knowledge, values, history, tradition and identity are transmitted, </w:t>
      </w:r>
    </w:p>
    <w:p w14:paraId="175CC292" w14:textId="77777777" w:rsidR="006145A3" w:rsidRPr="00932C9D" w:rsidRDefault="006145A3" w:rsidP="006145A3">
      <w:pPr>
        <w:pStyle w:val="Quote"/>
      </w:pPr>
      <w:r w:rsidRPr="00932C9D">
        <w:t xml:space="preserve">(c) to the development of the dynamic and strong individuals, communities and institutions in Nunavut that are required to advance the reconciliation contemplated by the Nunavut Land Claims Agreement, </w:t>
      </w:r>
    </w:p>
    <w:p w14:paraId="5CA1219F" w14:textId="77777777" w:rsidR="006145A3" w:rsidRPr="00932C9D" w:rsidRDefault="006145A3" w:rsidP="006145A3">
      <w:pPr>
        <w:pStyle w:val="Quote"/>
      </w:pPr>
      <w:r w:rsidRPr="00932C9D">
        <w:t xml:space="preserve">(d) to support the meaningful engagement of Inuit Language speakers in all levels of governance and in socio-economic development in Nunavut, and </w:t>
      </w:r>
    </w:p>
    <w:p w14:paraId="2C93AEA6" w14:textId="77777777" w:rsidR="006145A3" w:rsidRPr="00932C9D" w:rsidRDefault="006145A3" w:rsidP="006145A3">
      <w:pPr>
        <w:pStyle w:val="Quote"/>
      </w:pPr>
      <w:r w:rsidRPr="00932C9D">
        <w:t xml:space="preserve">(e) as a foundation necessary to a sustainable future for the Inuit of Nunavut as a people of distinct cultural and linguistic identity within Canada. </w:t>
      </w:r>
    </w:p>
    <w:p w14:paraId="389FE0A2" w14:textId="77777777" w:rsidR="006145A3" w:rsidRPr="00932C9D" w:rsidRDefault="006145A3" w:rsidP="006145A3">
      <w:pPr>
        <w:pStyle w:val="Quote"/>
      </w:pPr>
      <w:r w:rsidRPr="00932C9D">
        <w:t xml:space="preserve">Inuit Language Protection Act, SNu 2008, c 17 </w:t>
      </w:r>
      <w:sdt>
        <w:sdtPr>
          <w:id w:val="-1448069516"/>
          <w:citation/>
        </w:sdtPr>
        <w:sdtEndPr/>
        <w:sdtContent>
          <w:r>
            <w:fldChar w:fldCharType="begin"/>
          </w:r>
          <w:r>
            <w:instrText xml:space="preserve">CITATION Gov08 \l 2057 </w:instrText>
          </w:r>
          <w:r>
            <w:fldChar w:fldCharType="separate"/>
          </w:r>
          <w:r w:rsidRPr="008F3426">
            <w:rPr>
              <w:noProof/>
            </w:rPr>
            <w:t>(</w:t>
          </w:r>
          <w:bookmarkStart w:id="70" w:name="Gov08_36"/>
          <w:r w:rsidRPr="008F3426">
            <w:rPr>
              <w:noProof/>
            </w:rPr>
            <w:t>Government of Nunavut, 2008</w:t>
          </w:r>
          <w:r w:rsidRPr="008F3426">
            <w:rPr>
              <w:noProof/>
              <w:vertAlign w:val="subscript"/>
            </w:rPr>
            <w:t>[36]</w:t>
          </w:r>
          <w:r w:rsidRPr="008F3426">
            <w:rPr>
              <w:noProof/>
            </w:rPr>
            <w:t>)</w:t>
          </w:r>
          <w:bookmarkEnd w:id="70"/>
          <w:r>
            <w:fldChar w:fldCharType="end"/>
          </w:r>
        </w:sdtContent>
      </w:sdt>
    </w:p>
    <w:p w14:paraId="687987E2" w14:textId="77777777" w:rsidR="006145A3" w:rsidRPr="005719D0" w:rsidRDefault="006145A3" w:rsidP="006145A3">
      <w:pPr>
        <w:pStyle w:val="Para0"/>
      </w:pPr>
      <w:r w:rsidRPr="005719D0">
        <w:t xml:space="preserve">Canadian member of the Tobique First Nation, Jeremy Dutcher, an award-winning musician, says: </w:t>
      </w:r>
    </w:p>
    <w:p w14:paraId="195ECB8F" w14:textId="77777777" w:rsidR="006145A3" w:rsidRPr="00932C9D" w:rsidRDefault="006145A3" w:rsidP="006145A3">
      <w:pPr>
        <w:pStyle w:val="Quote"/>
      </w:pPr>
      <w:r w:rsidRPr="00932C9D">
        <w:t xml:space="preserve">I think about my mother a lot when I do this work. She grew up and until she was six years old the only language [my mother] spoke was Wolastoqey and then she went into day schools and there's a whole culture of [devaluation], a culture that devalues our language and our culture… She carried a lot of shame around her language, and so this </w:t>
      </w:r>
      <w:r>
        <w:t>work around linguistic revitalis</w:t>
      </w:r>
      <w:r w:rsidRPr="00932C9D">
        <w:t>ation for me is because of her. […] When she was growing up, everybody in our community spoke the language, now there are less than 100 fluent speakers left. […] We need to start recogni</w:t>
      </w:r>
      <w:r>
        <w:t>s</w:t>
      </w:r>
      <w:r w:rsidRPr="00932C9D">
        <w:t>ing that when we're losing la</w:t>
      </w:r>
      <w:r>
        <w:t xml:space="preserve">nguage we're not losing words. </w:t>
      </w:r>
      <w:r w:rsidRPr="00932C9D">
        <w:t xml:space="preserve">We're losing entire worldviews and ways of seeing the world and ones that are so connected to this particular place, wherever this place happens to be. What's in those languages is medicine, and it's what's actually going to help us move forward. And trust and believe we don't have a lot of time.  </w:t>
      </w:r>
    </w:p>
    <w:p w14:paraId="64B3FA59" w14:textId="77777777" w:rsidR="006145A3" w:rsidRPr="00932C9D" w:rsidRDefault="008D0BBE" w:rsidP="006145A3">
      <w:pPr>
        <w:pStyle w:val="Quote"/>
      </w:pPr>
      <w:sdt>
        <w:sdtPr>
          <w:id w:val="1943336456"/>
          <w:citation/>
        </w:sdtPr>
        <w:sdtEndPr/>
        <w:sdtContent>
          <w:r w:rsidR="006145A3">
            <w:fldChar w:fldCharType="begin"/>
          </w:r>
          <w:r w:rsidR="006145A3">
            <w:instrText xml:space="preserve">CITATION Dut19 \l 2057 </w:instrText>
          </w:r>
          <w:r w:rsidR="006145A3">
            <w:fldChar w:fldCharType="separate"/>
          </w:r>
          <w:r w:rsidR="006145A3" w:rsidRPr="00030F8E">
            <w:rPr>
              <w:noProof/>
            </w:rPr>
            <w:t>(</w:t>
          </w:r>
          <w:bookmarkStart w:id="71" w:name="Dut19_37"/>
          <w:r w:rsidR="006145A3" w:rsidRPr="00030F8E">
            <w:rPr>
              <w:noProof/>
            </w:rPr>
            <w:t>Dutcher, 2019</w:t>
          </w:r>
          <w:r w:rsidR="006145A3" w:rsidRPr="00030F8E">
            <w:rPr>
              <w:noProof/>
              <w:vertAlign w:val="subscript"/>
            </w:rPr>
            <w:t>[37]</w:t>
          </w:r>
          <w:r w:rsidR="006145A3" w:rsidRPr="00030F8E">
            <w:rPr>
              <w:noProof/>
            </w:rPr>
            <w:t>)</w:t>
          </w:r>
          <w:bookmarkEnd w:id="71"/>
          <w:r w:rsidR="006145A3">
            <w:fldChar w:fldCharType="end"/>
          </w:r>
        </w:sdtContent>
      </w:sdt>
      <w:r w:rsidR="006145A3" w:rsidRPr="00932C9D">
        <w:t xml:space="preserve"> [transcription: Barbra Meeks])</w:t>
      </w:r>
    </w:p>
    <w:p w14:paraId="67981A85" w14:textId="77777777" w:rsidR="006145A3" w:rsidRPr="009A29F0" w:rsidRDefault="006145A3" w:rsidP="006145A3">
      <w:pPr>
        <w:pStyle w:val="Para0"/>
      </w:pPr>
      <w:r w:rsidRPr="005719D0">
        <w:t xml:space="preserve">In </w:t>
      </w:r>
      <w:r w:rsidRPr="009A29F0">
        <w:t>contact language ecologies, there is an additional dimension of relationship between language, culture and identity. For example, the Aboriginal actor, Tom E. Lewis (deceased), acknowledged that Kriol speakers can feel pride in their language, yet they can also feel a sense of loss like other Indigenous peoples whose community language use has shifted away from the traditional Indigenous languages:</w:t>
      </w:r>
    </w:p>
    <w:p w14:paraId="513E59A0" w14:textId="77777777" w:rsidR="006145A3" w:rsidRPr="00932C9D" w:rsidRDefault="006145A3" w:rsidP="006145A3">
      <w:pPr>
        <w:pStyle w:val="Quote"/>
      </w:pPr>
      <w:r w:rsidRPr="00932C9D">
        <w:t xml:space="preserve">We're proud to speak Kriol. But it kinda backfired, because our [traditional] language is gone.  </w:t>
      </w:r>
    </w:p>
    <w:p w14:paraId="60012BE2" w14:textId="77777777" w:rsidR="006145A3" w:rsidRPr="00932C9D" w:rsidRDefault="006145A3" w:rsidP="006145A3">
      <w:pPr>
        <w:pStyle w:val="Quote"/>
      </w:pPr>
      <w:r w:rsidRPr="00932C9D">
        <w:t xml:space="preserve">Lewis quoted in Dickson </w:t>
      </w:r>
      <w:sdt>
        <w:sdtPr>
          <w:id w:val="550425348"/>
          <w:citation/>
        </w:sdtPr>
        <w:sdtEndPr/>
        <w:sdtContent>
          <w:r>
            <w:fldChar w:fldCharType="begin"/>
          </w:r>
          <w:r>
            <w:instrText xml:space="preserve">CITATION Dic16 \n  \l 2057 </w:instrText>
          </w:r>
          <w:r>
            <w:fldChar w:fldCharType="separate"/>
          </w:r>
          <w:r w:rsidRPr="00030F8E">
            <w:rPr>
              <w:noProof/>
            </w:rPr>
            <w:t>(2016</w:t>
          </w:r>
          <w:r w:rsidRPr="00030F8E">
            <w:rPr>
              <w:noProof/>
              <w:vertAlign w:val="subscript"/>
            </w:rPr>
            <w:t>[38]</w:t>
          </w:r>
          <w:r w:rsidRPr="00030F8E">
            <w:rPr>
              <w:noProof/>
            </w:rPr>
            <w:t>)</w:t>
          </w:r>
          <w:r>
            <w:fldChar w:fldCharType="end"/>
          </w:r>
        </w:sdtContent>
      </w:sdt>
    </w:p>
    <w:p w14:paraId="27FD785C" w14:textId="77777777" w:rsidR="006145A3" w:rsidRPr="005719D0" w:rsidRDefault="006145A3" w:rsidP="006145A3">
      <w:pPr>
        <w:pStyle w:val="Para0"/>
      </w:pPr>
      <w:r w:rsidRPr="009A29F0">
        <w:t xml:space="preserve">Although it is a matter often not considered, new Indigenous contact languages can also serve cultural continuity. Métis people have been revitalising the contact language Michif as part of maintaining Métis culture in western Canada </w:t>
      </w:r>
      <w:sdt>
        <w:sdtPr>
          <w:id w:val="490832916"/>
          <w:citation/>
        </w:sdtPr>
        <w:sdtEndPr/>
        <w:sdtContent>
          <w:r>
            <w:fldChar w:fldCharType="begin"/>
          </w:r>
          <w:r>
            <w:instrText>CITATION Fay \l 2057  \m Ste161</w:instrText>
          </w:r>
          <w:r>
            <w:fldChar w:fldCharType="separate"/>
          </w:r>
          <w:bookmarkStart w:id="72" w:name="Ste161_40"/>
          <w:r w:rsidRPr="005515FC">
            <w:rPr>
              <w:noProof/>
            </w:rPr>
            <w:t>(Fayant and Sterzuk, 2018</w:t>
          </w:r>
          <w:r w:rsidRPr="005515FC">
            <w:rPr>
              <w:noProof/>
              <w:vertAlign w:val="subscript"/>
            </w:rPr>
            <w:t>[39]</w:t>
          </w:r>
          <w:r w:rsidRPr="005515FC">
            <w:rPr>
              <w:noProof/>
            </w:rPr>
            <w:t>; Sterzuk and Fayant, 2016</w:t>
          </w:r>
          <w:r w:rsidRPr="005515FC">
            <w:rPr>
              <w:noProof/>
              <w:vertAlign w:val="subscript"/>
            </w:rPr>
            <w:t>[40]</w:t>
          </w:r>
          <w:r w:rsidRPr="005515FC">
            <w:rPr>
              <w:noProof/>
            </w:rPr>
            <w:t>)</w:t>
          </w:r>
          <w:bookmarkEnd w:id="72"/>
          <w:r>
            <w:fldChar w:fldCharType="end"/>
          </w:r>
        </w:sdtContent>
      </w:sdt>
      <w:r w:rsidRPr="005719D0">
        <w:rPr>
          <w:shd w:val="clear" w:color="auto" w:fill="FFFFFF" w:themeFill="background1"/>
        </w:rPr>
        <w:t>.</w:t>
      </w:r>
      <w:r w:rsidRPr="005719D0">
        <w:t xml:space="preserve"> Saskatchewan educator, Russell Fayant, explains the gulf between the rich worldview of the Métis expressed through Michif oral traditions versus what was lost in colonial language versions: </w:t>
      </w:r>
    </w:p>
    <w:p w14:paraId="41FF338B" w14:textId="77777777" w:rsidR="006145A3" w:rsidRPr="00932C9D" w:rsidRDefault="006145A3" w:rsidP="006145A3">
      <w:pPr>
        <w:pStyle w:val="Quote"/>
      </w:pPr>
      <w:r w:rsidRPr="00932C9D">
        <w:t>Stories, songs, legends and histories, first recorded and understood in Michif become whitewashed by the colonizer's tongue and thus lack depth, humour and context.</w:t>
      </w:r>
    </w:p>
    <w:p w14:paraId="76693854" w14:textId="0684C9AE" w:rsidR="006145A3" w:rsidRPr="00932C9D" w:rsidRDefault="006145A3" w:rsidP="006145A3">
      <w:pPr>
        <w:pStyle w:val="Quote"/>
      </w:pPr>
      <w:r w:rsidRPr="00932C9D">
        <w:t>Russell Fayant quoted in Sterzuk and Fayant</w:t>
      </w:r>
      <w:sdt>
        <w:sdtPr>
          <w:id w:val="1599441348"/>
          <w:citation/>
        </w:sdtPr>
        <w:sdtEndPr/>
        <w:sdtContent>
          <w:r>
            <w:fldChar w:fldCharType="begin"/>
          </w:r>
          <w:r>
            <w:instrText xml:space="preserve"> CITATION Ste16 \l 2057 </w:instrText>
          </w:r>
          <w:r>
            <w:fldChar w:fldCharType="separate"/>
          </w:r>
          <w:r>
            <w:rPr>
              <w:noProof/>
            </w:rPr>
            <w:t xml:space="preserve"> </w:t>
          </w:r>
          <w:r w:rsidRPr="005515FC">
            <w:rPr>
              <w:noProof/>
            </w:rPr>
            <w:t>(Sterzuk and Fayant, 2016</w:t>
          </w:r>
          <w:r w:rsidRPr="005515FC">
            <w:rPr>
              <w:noProof/>
              <w:vertAlign w:val="subscript"/>
            </w:rPr>
            <w:t>[25]</w:t>
          </w:r>
          <w:r w:rsidRPr="005515FC">
            <w:rPr>
              <w:noProof/>
            </w:rPr>
            <w:t>)</w:t>
          </w:r>
          <w:r>
            <w:fldChar w:fldCharType="end"/>
          </w:r>
        </w:sdtContent>
      </w:sdt>
      <w:r w:rsidRPr="00932C9D">
        <w:t xml:space="preserve">. </w:t>
      </w:r>
    </w:p>
    <w:p w14:paraId="3DA2F0BE" w14:textId="77777777" w:rsidR="006145A3" w:rsidRPr="005719D0" w:rsidRDefault="006145A3" w:rsidP="006145A3">
      <w:pPr>
        <w:pStyle w:val="Para0"/>
      </w:pPr>
      <w:r w:rsidRPr="005719D0">
        <w:t xml:space="preserve">Recent research with north Australian Kriol speakers indicates that </w:t>
      </w:r>
      <w:r w:rsidRPr="009A29F0">
        <w:t>cultural concepts embedded</w:t>
      </w:r>
      <w:r w:rsidRPr="005719D0">
        <w:t xml:space="preserve"> in a local traditional Indigenous language have found their way through to the new Indigenous language: </w:t>
      </w:r>
    </w:p>
    <w:p w14:paraId="2EFA772D" w14:textId="77777777" w:rsidR="006145A3" w:rsidRPr="00B96B08" w:rsidRDefault="006145A3" w:rsidP="006145A3">
      <w:pPr>
        <w:pStyle w:val="Quote"/>
      </w:pPr>
      <w:r w:rsidRPr="00932C9D">
        <w:t xml:space="preserve">[...] regardless of the language they speak, [Indigenous] people still find ways to express old ways of speaking in a new language, so language doesn't fundamentally alter their cultural identity. In other words, their culture </w:t>
      </w:r>
      <w:r w:rsidRPr="00B96B08">
        <w:t xml:space="preserve">can shape their language, not just the other way around. </w:t>
      </w:r>
      <w:bookmarkStart w:id="73" w:name="__Fieldmark__2452_224565148"/>
      <w:r w:rsidRPr="00B96B08">
        <w:t xml:space="preserve"> </w:t>
      </w:r>
      <w:bookmarkEnd w:id="73"/>
    </w:p>
    <w:p w14:paraId="59BABE21" w14:textId="77777777" w:rsidR="006145A3" w:rsidRPr="00932C9D" w:rsidRDefault="008D0BBE" w:rsidP="006145A3">
      <w:pPr>
        <w:pStyle w:val="Quote"/>
      </w:pPr>
      <w:sdt>
        <w:sdtPr>
          <w:id w:val="-255366428"/>
          <w:citation/>
        </w:sdtPr>
        <w:sdtEndPr/>
        <w:sdtContent>
          <w:r w:rsidR="006145A3" w:rsidRPr="00B96B08">
            <w:fldChar w:fldCharType="begin"/>
          </w:r>
          <w:r w:rsidR="006145A3" w:rsidRPr="00B96B08">
            <w:instrText xml:space="preserve">CITATION Pon20 \l 2057 </w:instrText>
          </w:r>
          <w:r w:rsidR="006145A3" w:rsidRPr="00B96B08">
            <w:fldChar w:fldCharType="separate"/>
          </w:r>
          <w:r w:rsidR="006145A3" w:rsidRPr="00B96B08">
            <w:rPr>
              <w:noProof/>
            </w:rPr>
            <w:t>(</w:t>
          </w:r>
          <w:bookmarkStart w:id="74" w:name="Pon20_41"/>
          <w:r w:rsidR="006145A3" w:rsidRPr="00B96B08">
            <w:rPr>
              <w:noProof/>
            </w:rPr>
            <w:t>Ponsonnet, 2020</w:t>
          </w:r>
          <w:r w:rsidR="006145A3" w:rsidRPr="00B96B08">
            <w:rPr>
              <w:noProof/>
              <w:vertAlign w:val="subscript"/>
            </w:rPr>
            <w:t>[41]</w:t>
          </w:r>
          <w:r w:rsidR="006145A3" w:rsidRPr="00B96B08">
            <w:rPr>
              <w:noProof/>
            </w:rPr>
            <w:t>)</w:t>
          </w:r>
          <w:bookmarkEnd w:id="74"/>
          <w:r w:rsidR="006145A3" w:rsidRPr="00B96B08">
            <w:fldChar w:fldCharType="end"/>
          </w:r>
        </w:sdtContent>
      </w:sdt>
    </w:p>
    <w:p w14:paraId="6C1CEE73" w14:textId="77777777" w:rsidR="006145A3" w:rsidRPr="003A2E43" w:rsidRDefault="006145A3" w:rsidP="006145A3">
      <w:pPr>
        <w:pStyle w:val="Heading2"/>
        <w:numPr>
          <w:ilvl w:val="1"/>
          <w:numId w:val="22"/>
        </w:numPr>
      </w:pPr>
      <w:bookmarkStart w:id="75" w:name="_Toc82093561"/>
      <w:bookmarkStart w:id="76" w:name="_Toc95824100"/>
      <w:r>
        <w:lastRenderedPageBreak/>
        <w:t>B</w:t>
      </w:r>
      <w:r w:rsidRPr="003A2E43">
        <w:t>enefits</w:t>
      </w:r>
      <w:r>
        <w:t xml:space="preserve"> for </w:t>
      </w:r>
      <w:r w:rsidRPr="003E04DC">
        <w:t>Indigenous</w:t>
      </w:r>
      <w:r>
        <w:t xml:space="preserve"> students</w:t>
      </w:r>
      <w:bookmarkEnd w:id="75"/>
      <w:bookmarkEnd w:id="76"/>
    </w:p>
    <w:p w14:paraId="2CF49249" w14:textId="77777777" w:rsidR="006145A3" w:rsidRPr="00BE681D" w:rsidRDefault="006145A3" w:rsidP="006145A3">
      <w:pPr>
        <w:pStyle w:val="Para0"/>
      </w:pPr>
      <w:r>
        <w:t>Access</w:t>
      </w:r>
      <w:r w:rsidRPr="00BE681D">
        <w:t xml:space="preserve"> to Indigenous languages </w:t>
      </w:r>
      <w:r>
        <w:t xml:space="preserve">has a number of benefits for </w:t>
      </w:r>
      <w:r w:rsidRPr="00BE681D">
        <w:t>Indigenous students</w:t>
      </w:r>
      <w:r>
        <w:t>, including:</w:t>
      </w:r>
    </w:p>
    <w:p w14:paraId="3D9CD290" w14:textId="77777777" w:rsidR="006145A3" w:rsidRPr="00C5572A" w:rsidRDefault="006145A3" w:rsidP="006145A3">
      <w:pPr>
        <w:pStyle w:val="BulletedList"/>
      </w:pPr>
      <w:r w:rsidRPr="00C5572A">
        <w:t xml:space="preserve">the recognition and strengthening of Indigenous student identity at school </w:t>
      </w:r>
    </w:p>
    <w:p w14:paraId="4446A233" w14:textId="77777777" w:rsidR="006145A3" w:rsidRPr="00C5572A" w:rsidRDefault="006145A3" w:rsidP="006145A3">
      <w:pPr>
        <w:pStyle w:val="BulletedList"/>
      </w:pPr>
      <w:r w:rsidRPr="00C5572A">
        <w:t xml:space="preserve">success as a young Indigenous person in an Indigenous identified subject </w:t>
      </w:r>
    </w:p>
    <w:p w14:paraId="64C947BB" w14:textId="77777777" w:rsidR="006145A3" w:rsidRPr="00C5572A" w:rsidRDefault="006145A3" w:rsidP="006145A3">
      <w:pPr>
        <w:pStyle w:val="BulletedList"/>
      </w:pPr>
      <w:r w:rsidRPr="00C5572A">
        <w:t>increased sense of belonging and motivation in school</w:t>
      </w:r>
    </w:p>
    <w:p w14:paraId="18D1BC89" w14:textId="77777777" w:rsidR="006145A3" w:rsidRPr="00852D94" w:rsidRDefault="006145A3" w:rsidP="006145A3">
      <w:pPr>
        <w:pStyle w:val="Heading3"/>
        <w:numPr>
          <w:ilvl w:val="2"/>
          <w:numId w:val="22"/>
        </w:numPr>
        <w:rPr>
          <w:rFonts w:ascii="Times New Roman" w:hAnsi="Times New Roman" w:cs="Times New Roman"/>
        </w:rPr>
      </w:pPr>
      <w:r>
        <w:rPr>
          <w:rFonts w:ascii="Times New Roman" w:hAnsi="Times New Roman" w:cs="Times New Roman"/>
        </w:rPr>
        <w:t>Stronger identity, self-esteem and resilience</w:t>
      </w:r>
    </w:p>
    <w:p w14:paraId="413A80F4" w14:textId="77777777" w:rsidR="006145A3" w:rsidRPr="00BE681D" w:rsidRDefault="006145A3" w:rsidP="006145A3">
      <w:pPr>
        <w:pStyle w:val="Para0"/>
      </w:pPr>
      <w:r>
        <w:t xml:space="preserve">As noted in the previous section, language and cultural identity are inextricably linked. A </w:t>
      </w:r>
      <w:r w:rsidRPr="00BE681D">
        <w:t>recent evaluation of Māori language programmes (delivered in English medium</w:t>
      </w:r>
      <w:r>
        <w:t xml:space="preserve"> schools) in Aotearoa New </w:t>
      </w:r>
      <w:r w:rsidRPr="00BE681D">
        <w:t>Zealand reports that educators firmly believe that learning Māori language will improve Māori students' wider academic success and strengthen their identity as Māori:</w:t>
      </w:r>
    </w:p>
    <w:p w14:paraId="7C71D86B" w14:textId="77777777" w:rsidR="006145A3" w:rsidRPr="00932C9D" w:rsidRDefault="006145A3" w:rsidP="006145A3">
      <w:pPr>
        <w:pStyle w:val="Quote"/>
      </w:pPr>
      <w:r w:rsidRPr="00932C9D">
        <w:t>The key driver for English-medium schools in the provision of Ma</w:t>
      </w:r>
      <w:r w:rsidRPr="00932C9D">
        <w:rPr>
          <w:rFonts w:ascii="Arial" w:hAnsi="Arial" w:cs="Arial"/>
        </w:rPr>
        <w:t>̄</w:t>
      </w:r>
      <w:r w:rsidRPr="00932C9D">
        <w:t>ori language programmes is the goal to support wider education success. Ma</w:t>
      </w:r>
      <w:r w:rsidRPr="00932C9D">
        <w:rPr>
          <w:rFonts w:ascii="Arial" w:hAnsi="Arial" w:cs="Arial"/>
        </w:rPr>
        <w:t>̄</w:t>
      </w:r>
      <w:r w:rsidRPr="00932C9D">
        <w:t>ori language is seen as a lever for strengthening Ma</w:t>
      </w:r>
      <w:r w:rsidRPr="00932C9D">
        <w:rPr>
          <w:rFonts w:ascii="Arial" w:hAnsi="Arial" w:cs="Arial"/>
        </w:rPr>
        <w:t>̄</w:t>
      </w:r>
      <w:r w:rsidRPr="00932C9D">
        <w:t>ori students' identity and the foundation for achieving the vision of the Ministry's Ma</w:t>
      </w:r>
      <w:r w:rsidRPr="00932C9D">
        <w:rPr>
          <w:rFonts w:ascii="Arial" w:hAnsi="Arial" w:cs="Arial"/>
        </w:rPr>
        <w:t>̄</w:t>
      </w:r>
      <w:r w:rsidRPr="00932C9D">
        <w:t xml:space="preserve">ori education strategy, Ka Hikitia </w:t>
      </w:r>
      <w:r w:rsidRPr="005C35BB">
        <w:t>(Ministry of Education, 2013b</w:t>
      </w:r>
      <w:r w:rsidRPr="00932C9D">
        <w:t xml:space="preserve">) i.e., Māori students achieving success as Māori. </w:t>
      </w:r>
    </w:p>
    <w:p w14:paraId="36888186" w14:textId="77777777" w:rsidR="006145A3" w:rsidRPr="00932C9D" w:rsidRDefault="008D0BBE" w:rsidP="006145A3">
      <w:pPr>
        <w:pStyle w:val="Quote"/>
      </w:pPr>
      <w:sdt>
        <w:sdtPr>
          <w:id w:val="1235279163"/>
          <w:citation/>
        </w:sdtPr>
        <w:sdtEndPr/>
        <w:sdtContent>
          <w:r w:rsidR="006145A3">
            <w:fldChar w:fldCharType="begin"/>
          </w:r>
          <w:r w:rsidR="006145A3">
            <w:instrText xml:space="preserve">CITATION Hae19 \l 2057 </w:instrText>
          </w:r>
          <w:r w:rsidR="006145A3">
            <w:fldChar w:fldCharType="separate"/>
          </w:r>
          <w:r w:rsidR="006145A3" w:rsidRPr="003F1069">
            <w:rPr>
              <w:noProof/>
            </w:rPr>
            <w:t>(Haemata Limited, 2019</w:t>
          </w:r>
          <w:r w:rsidR="006145A3" w:rsidRPr="003F1069">
            <w:rPr>
              <w:noProof/>
              <w:vertAlign w:val="subscript"/>
            </w:rPr>
            <w:t>[42]</w:t>
          </w:r>
          <w:r w:rsidR="006145A3" w:rsidRPr="003F1069">
            <w:rPr>
              <w:noProof/>
            </w:rPr>
            <w:t>)</w:t>
          </w:r>
          <w:r w:rsidR="006145A3">
            <w:fldChar w:fldCharType="end"/>
          </w:r>
        </w:sdtContent>
      </w:sdt>
      <w:r w:rsidR="006145A3" w:rsidRPr="00932C9D">
        <w:t>.</w:t>
      </w:r>
    </w:p>
    <w:p w14:paraId="2DDDC6E0" w14:textId="77777777" w:rsidR="006145A3" w:rsidRPr="00BE681D" w:rsidRDefault="006145A3" w:rsidP="006145A3">
      <w:pPr>
        <w:pStyle w:val="Para0"/>
      </w:pPr>
      <w:r w:rsidRPr="00BE681D">
        <w:t>Students who participated in the evaluation study expressed their views through questionnaires and in focus groups. The evaluation report notes that identity is a theme raised by Māori students (student quotes a and b below). This was in a different way and in addition to a general sense of national identity and responsibility raised by students more generally (student quotes c and d below):</w:t>
      </w:r>
    </w:p>
    <w:p w14:paraId="30234702" w14:textId="77777777" w:rsidR="006145A3" w:rsidRPr="00932C9D" w:rsidRDefault="006145A3" w:rsidP="006145A3">
      <w:pPr>
        <w:pStyle w:val="Quote"/>
      </w:pPr>
      <w:r w:rsidRPr="00932C9D">
        <w:t>a. you have to learn [the Ma</w:t>
      </w:r>
      <w:r w:rsidRPr="00932C9D">
        <w:rPr>
          <w:rFonts w:ascii="Arial" w:hAnsi="Arial" w:cs="Arial"/>
        </w:rPr>
        <w:t>̄</w:t>
      </w:r>
      <w:r w:rsidRPr="00932C9D">
        <w:t xml:space="preserve">ori language], you can't just be your culture without knowing what that culture is, or what you do, or even how to speak it, there's much more </w:t>
      </w:r>
      <w:r w:rsidRPr="008E7C4B">
        <w:rPr>
          <w:i w:val="0"/>
        </w:rPr>
        <w:t>whakapapa</w:t>
      </w:r>
      <w:r w:rsidRPr="00932C9D">
        <w:t xml:space="preserve"> [genealogy]. </w:t>
      </w:r>
    </w:p>
    <w:p w14:paraId="5467E414" w14:textId="77777777" w:rsidR="006145A3" w:rsidRPr="00932C9D" w:rsidRDefault="006145A3" w:rsidP="006145A3">
      <w:pPr>
        <w:pStyle w:val="Quote"/>
      </w:pPr>
      <w:r w:rsidRPr="00932C9D">
        <w:t xml:space="preserve">b. If I speak </w:t>
      </w:r>
      <w:r w:rsidRPr="008E7C4B">
        <w:rPr>
          <w:i w:val="0"/>
        </w:rPr>
        <w:t>te reo</w:t>
      </w:r>
      <w:r w:rsidRPr="00932C9D">
        <w:t xml:space="preserve">, I can access my culture, or other cultural privileges like </w:t>
      </w:r>
      <w:r w:rsidRPr="008E7C4B">
        <w:rPr>
          <w:i w:val="0"/>
        </w:rPr>
        <w:t>ta</w:t>
      </w:r>
      <w:r w:rsidRPr="008E7C4B">
        <w:rPr>
          <w:rFonts w:ascii="Arial" w:hAnsi="Arial" w:cs="Arial"/>
          <w:i w:val="0"/>
        </w:rPr>
        <w:t>̄</w:t>
      </w:r>
      <w:r w:rsidRPr="008E7C4B">
        <w:rPr>
          <w:i w:val="0"/>
        </w:rPr>
        <w:t xml:space="preserve"> moko</w:t>
      </w:r>
      <w:r w:rsidRPr="00932C9D">
        <w:t xml:space="preserve"> [cultural tattoos].</w:t>
      </w:r>
    </w:p>
    <w:p w14:paraId="30A5B0A1" w14:textId="77777777" w:rsidR="006145A3" w:rsidRPr="00932C9D" w:rsidRDefault="006145A3" w:rsidP="006145A3">
      <w:pPr>
        <w:pStyle w:val="Quote"/>
      </w:pPr>
      <w:r w:rsidRPr="00932C9D">
        <w:t>c. Everyone who lives in New</w:t>
      </w:r>
      <w:r>
        <w:t> </w:t>
      </w:r>
      <w:r w:rsidRPr="00932C9D">
        <w:t>Zealand should make an effort to learn Ma</w:t>
      </w:r>
      <w:r w:rsidRPr="00932C9D">
        <w:rPr>
          <w:rFonts w:ascii="Arial" w:hAnsi="Arial" w:cs="Arial"/>
        </w:rPr>
        <w:t>̄</w:t>
      </w:r>
      <w:r w:rsidRPr="00932C9D">
        <w:t>ori.</w:t>
      </w:r>
    </w:p>
    <w:p w14:paraId="5F75D067" w14:textId="77777777" w:rsidR="006145A3" w:rsidRPr="00932C9D" w:rsidRDefault="006145A3" w:rsidP="006145A3">
      <w:pPr>
        <w:pStyle w:val="Quote"/>
      </w:pPr>
      <w:r w:rsidRPr="00932C9D">
        <w:t>d. It's [Ma</w:t>
      </w:r>
      <w:r w:rsidRPr="00932C9D">
        <w:rPr>
          <w:rFonts w:ascii="Arial" w:hAnsi="Arial" w:cs="Arial"/>
        </w:rPr>
        <w:t>̄</w:t>
      </w:r>
      <w:r w:rsidRPr="00932C9D">
        <w:t xml:space="preserve">ori language] what makes us unique as a country. </w:t>
      </w:r>
    </w:p>
    <w:p w14:paraId="45C8D6EF" w14:textId="77777777" w:rsidR="006145A3" w:rsidRPr="00932C9D" w:rsidRDefault="008D0BBE" w:rsidP="006145A3">
      <w:pPr>
        <w:pStyle w:val="Quote"/>
      </w:pPr>
      <w:sdt>
        <w:sdtPr>
          <w:id w:val="-870838693"/>
          <w:citation/>
        </w:sdtPr>
        <w:sdtEndPr/>
        <w:sdtContent>
          <w:r w:rsidR="006145A3">
            <w:fldChar w:fldCharType="begin"/>
          </w:r>
          <w:r w:rsidR="006145A3">
            <w:instrText xml:space="preserve">CITATION Hae19 \l 2057 </w:instrText>
          </w:r>
          <w:r w:rsidR="006145A3">
            <w:fldChar w:fldCharType="separate"/>
          </w:r>
          <w:r w:rsidR="006145A3" w:rsidRPr="003F1069">
            <w:rPr>
              <w:noProof/>
            </w:rPr>
            <w:t>(Haemata Limited, 2019</w:t>
          </w:r>
          <w:r w:rsidR="006145A3" w:rsidRPr="003F1069">
            <w:rPr>
              <w:noProof/>
              <w:vertAlign w:val="subscript"/>
            </w:rPr>
            <w:t>[42]</w:t>
          </w:r>
          <w:r w:rsidR="006145A3" w:rsidRPr="003F1069">
            <w:rPr>
              <w:noProof/>
            </w:rPr>
            <w:t>)</w:t>
          </w:r>
          <w:r w:rsidR="006145A3">
            <w:fldChar w:fldCharType="end"/>
          </w:r>
        </w:sdtContent>
      </w:sdt>
      <w:r w:rsidR="006145A3" w:rsidRPr="00932C9D">
        <w:t>.</w:t>
      </w:r>
    </w:p>
    <w:p w14:paraId="44EA6EA8" w14:textId="77777777" w:rsidR="006145A3" w:rsidRPr="00BE681D" w:rsidRDefault="006145A3" w:rsidP="006145A3">
      <w:pPr>
        <w:pStyle w:val="Para0"/>
      </w:pPr>
      <w:r w:rsidRPr="00BE681D">
        <w:t>A positive future orientation is one of the ways language programmes have been observed to strengthen Indigenous children's identity according to Kaurna woman, former school principal and experienced and active member of the Kaurna language revival group in Adelaide, South Australia, the late Alitya Rigney. She described her experience of the positive benefits of Kaurna language programmes for children to a national Australian parliamentary enquiry:</w:t>
      </w:r>
    </w:p>
    <w:p w14:paraId="70A40915" w14:textId="77777777" w:rsidR="006145A3" w:rsidRPr="00932C9D" w:rsidRDefault="006145A3" w:rsidP="006145A3">
      <w:pPr>
        <w:pStyle w:val="Quote"/>
      </w:pPr>
      <w:r w:rsidRPr="00932C9D">
        <w:t>Have you ever seen a kid's face when they learn the language of their people and country and see the joy, the pride and the identity that comes from that and the wonder that will take them into the future? It is absolutely magic.</w:t>
      </w:r>
    </w:p>
    <w:p w14:paraId="5FFD539A" w14:textId="77777777" w:rsidR="006145A3" w:rsidRPr="00932C9D" w:rsidRDefault="006145A3" w:rsidP="006145A3">
      <w:pPr>
        <w:pStyle w:val="Quote"/>
      </w:pPr>
      <w:r w:rsidRPr="00932C9D">
        <w:t xml:space="preserve">Alitja Rigney, quoted in Our Land Our Languages report </w:t>
      </w:r>
      <w:sdt>
        <w:sdtPr>
          <w:id w:val="-2105487134"/>
          <w:citation/>
        </w:sdtPr>
        <w:sdtEndPr/>
        <w:sdtContent>
          <w:r>
            <w:fldChar w:fldCharType="begin"/>
          </w:r>
          <w:r>
            <w:instrText xml:space="preserve">CITATION Hou12 \l 2057 </w:instrText>
          </w:r>
          <w:r>
            <w:fldChar w:fldCharType="separate"/>
          </w:r>
          <w:r w:rsidRPr="00FE50D1">
            <w:rPr>
              <w:noProof/>
            </w:rPr>
            <w:t>(</w:t>
          </w:r>
          <w:bookmarkStart w:id="77" w:name="Hou12_43"/>
          <w:r w:rsidRPr="00FE50D1">
            <w:rPr>
              <w:noProof/>
            </w:rPr>
            <w:t>House of Representatives Standing Committee on Aboriginal and Torres Strait Islander Affairs, 2012</w:t>
          </w:r>
          <w:r w:rsidRPr="00FE50D1">
            <w:rPr>
              <w:noProof/>
              <w:vertAlign w:val="subscript"/>
            </w:rPr>
            <w:t>[43]</w:t>
          </w:r>
          <w:r w:rsidRPr="00FE50D1">
            <w:rPr>
              <w:noProof/>
            </w:rPr>
            <w:t>)</w:t>
          </w:r>
          <w:bookmarkEnd w:id="77"/>
          <w:r>
            <w:fldChar w:fldCharType="end"/>
          </w:r>
        </w:sdtContent>
      </w:sdt>
      <w:r>
        <w:t>.</w:t>
      </w:r>
    </w:p>
    <w:p w14:paraId="147D2738" w14:textId="77777777" w:rsidR="006145A3" w:rsidRPr="00F477C2" w:rsidRDefault="006145A3" w:rsidP="006145A3">
      <w:pPr>
        <w:pStyle w:val="Para0"/>
      </w:pPr>
      <w:r w:rsidRPr="00F477C2">
        <w:t xml:space="preserve">In an Australian study </w:t>
      </w:r>
      <w:sdt>
        <w:sdtPr>
          <w:id w:val="-1506742942"/>
          <w:citation/>
        </w:sdtPr>
        <w:sdtEndPr/>
        <w:sdtContent>
          <w:r>
            <w:fldChar w:fldCharType="begin"/>
          </w:r>
          <w:r>
            <w:instrText xml:space="preserve"> CITATION Ang191 \l 2057 </w:instrText>
          </w:r>
          <w:r>
            <w:fldChar w:fldCharType="separate"/>
          </w:r>
          <w:r w:rsidRPr="006035B0">
            <w:rPr>
              <w:noProof/>
            </w:rPr>
            <w:t>(</w:t>
          </w:r>
          <w:bookmarkStart w:id="78" w:name="Ang191_44"/>
          <w:r w:rsidRPr="006035B0">
            <w:rPr>
              <w:noProof/>
            </w:rPr>
            <w:t>Angelo and Poetsch, 2019</w:t>
          </w:r>
          <w:r w:rsidRPr="006035B0">
            <w:rPr>
              <w:noProof/>
              <w:vertAlign w:val="subscript"/>
            </w:rPr>
            <w:t>[44]</w:t>
          </w:r>
          <w:r w:rsidRPr="006035B0">
            <w:rPr>
              <w:noProof/>
            </w:rPr>
            <w:t>)</w:t>
          </w:r>
          <w:bookmarkEnd w:id="78"/>
          <w:r>
            <w:fldChar w:fldCharType="end"/>
          </w:r>
        </w:sdtContent>
      </w:sdt>
      <w:r w:rsidRPr="00F477C2">
        <w:t xml:space="preserve"> Indigenous languages teachers spoke about their language programmes and how they developed them to fit their students' language and cultural needs. Despite their diverse teaching and learning contexts, each teacher saw the language programme as a means of reinforcing students' cultural resilience: </w:t>
      </w:r>
    </w:p>
    <w:p w14:paraId="205654E1" w14:textId="77777777" w:rsidR="006145A3" w:rsidRPr="00932C9D" w:rsidRDefault="006145A3" w:rsidP="006145A3">
      <w:pPr>
        <w:pStyle w:val="Quote"/>
      </w:pPr>
      <w:r w:rsidRPr="00932C9D">
        <w:lastRenderedPageBreak/>
        <w:t xml:space="preserve">All of the teachers underline the significance of their languages for the present and future well-being of their learners and their families. The teachers are conscious that some kind of adversity is likely to be in the life experiences of their students. They consider the growing of the learners' language and culture knowledge to be a source of well-being, since it can provide them with confidence and pride in their unique identity, and their place in their own, and in the dominant, society. Knowing who they are, and where they belong, is a source of strength to draw on when facing life challenges, and a foundation for contentment and achievement in their lives. By and large, Aboriginal languages teachers are more or less closely related to the Aboriginal students in their classes. The impact of their work, on individual learners and on the community as a whole, matters to them in personal ways. </w:t>
      </w:r>
    </w:p>
    <w:p w14:paraId="2B0304CC" w14:textId="77777777" w:rsidR="006145A3" w:rsidRPr="00932C9D" w:rsidRDefault="008D0BBE" w:rsidP="006145A3">
      <w:pPr>
        <w:pStyle w:val="Quote"/>
      </w:pPr>
      <w:sdt>
        <w:sdtPr>
          <w:id w:val="1682320062"/>
          <w:citation/>
        </w:sdtPr>
        <w:sdtEndPr/>
        <w:sdtContent>
          <w:r w:rsidR="006145A3">
            <w:fldChar w:fldCharType="begin"/>
          </w:r>
          <w:r w:rsidR="006145A3">
            <w:instrText xml:space="preserve"> CITATION Ang191 \l 2057 </w:instrText>
          </w:r>
          <w:r w:rsidR="006145A3">
            <w:fldChar w:fldCharType="separate"/>
          </w:r>
          <w:r w:rsidR="006145A3" w:rsidRPr="006035B0">
            <w:rPr>
              <w:noProof/>
            </w:rPr>
            <w:t>(Angelo and Poetsch, 2019</w:t>
          </w:r>
          <w:r w:rsidR="006145A3" w:rsidRPr="006035B0">
            <w:rPr>
              <w:noProof/>
              <w:vertAlign w:val="subscript"/>
            </w:rPr>
            <w:t>[44]</w:t>
          </w:r>
          <w:r w:rsidR="006145A3" w:rsidRPr="006035B0">
            <w:rPr>
              <w:noProof/>
            </w:rPr>
            <w:t>)</w:t>
          </w:r>
          <w:r w:rsidR="006145A3">
            <w:fldChar w:fldCharType="end"/>
          </w:r>
        </w:sdtContent>
      </w:sdt>
    </w:p>
    <w:p w14:paraId="2DDBBD68" w14:textId="78D06051" w:rsidR="006145A3" w:rsidRPr="00F477C2" w:rsidRDefault="006145A3" w:rsidP="006145A3">
      <w:pPr>
        <w:pStyle w:val="Para0"/>
      </w:pPr>
      <w:r>
        <w:t>Similarly, in a lecture on “</w:t>
      </w:r>
      <w:r w:rsidRPr="00F477C2">
        <w:t>red dirt curriculum</w:t>
      </w:r>
      <w:r>
        <w:t>”</w:t>
      </w:r>
      <w:r w:rsidR="00802DDB">
        <w:t>, Katrina T</w:t>
      </w:r>
      <w:r w:rsidRPr="00F477C2">
        <w:t>it</w:t>
      </w:r>
      <w:r w:rsidR="00802DDB">
        <w:t>j</w:t>
      </w:r>
      <w:r w:rsidRPr="00F477C2">
        <w:t>ayi identifies the advantages of teaching Indigenous children from central Australia in their own mother tongue/first language as a way of building their spirit and confidence:</w:t>
      </w:r>
    </w:p>
    <w:p w14:paraId="61FE1A91" w14:textId="77777777" w:rsidR="006145A3" w:rsidRPr="00932C9D" w:rsidRDefault="006145A3" w:rsidP="006145A3">
      <w:pPr>
        <w:pStyle w:val="Quote"/>
      </w:pPr>
      <w:r w:rsidRPr="00932C9D">
        <w:t>Teaching in our own language, teaching Anangu culture and teaching the children to r</w:t>
      </w:r>
      <w:r>
        <w:t>ead and write in Pitjantjatjara</w:t>
      </w:r>
      <w:r w:rsidRPr="00932C9D">
        <w:t xml:space="preserve">/Yankunytjatjara will also open up their spirits (down deep in their roots) because this will give them the courage to try new things for themselves. It will help their confidence also when they have someone close by and continually supporting them. </w:t>
      </w:r>
    </w:p>
    <w:p w14:paraId="6C4E1A12" w14:textId="77777777" w:rsidR="006145A3" w:rsidRPr="00932C9D" w:rsidRDefault="008D0BBE" w:rsidP="006145A3">
      <w:pPr>
        <w:pStyle w:val="Quote"/>
      </w:pPr>
      <w:sdt>
        <w:sdtPr>
          <w:id w:val="993995069"/>
          <w:citation/>
        </w:sdtPr>
        <w:sdtEndPr/>
        <w:sdtContent>
          <w:r w:rsidR="006145A3">
            <w:fldChar w:fldCharType="begin"/>
          </w:r>
          <w:r w:rsidR="006145A3">
            <w:instrText xml:space="preserve"> CITATION Les13 \l 2057 </w:instrText>
          </w:r>
          <w:r w:rsidR="006145A3">
            <w:fldChar w:fldCharType="separate"/>
          </w:r>
          <w:r w:rsidR="006145A3" w:rsidRPr="006035B0">
            <w:rPr>
              <w:noProof/>
            </w:rPr>
            <w:t>(</w:t>
          </w:r>
          <w:bookmarkStart w:id="79" w:name="Les13_45"/>
          <w:r w:rsidR="006145A3" w:rsidRPr="006035B0">
            <w:rPr>
              <w:noProof/>
            </w:rPr>
            <w:t>Lester, 2013</w:t>
          </w:r>
          <w:r w:rsidR="006145A3" w:rsidRPr="006035B0">
            <w:rPr>
              <w:noProof/>
              <w:vertAlign w:val="subscript"/>
            </w:rPr>
            <w:t>[45]</w:t>
          </w:r>
          <w:r w:rsidR="006145A3" w:rsidRPr="006035B0">
            <w:rPr>
              <w:noProof/>
            </w:rPr>
            <w:t>)</w:t>
          </w:r>
          <w:bookmarkEnd w:id="79"/>
          <w:r w:rsidR="006145A3">
            <w:fldChar w:fldCharType="end"/>
          </w:r>
        </w:sdtContent>
      </w:sdt>
    </w:p>
    <w:p w14:paraId="0B4B05E0" w14:textId="77777777" w:rsidR="006145A3" w:rsidRPr="002639BB" w:rsidRDefault="006145A3" w:rsidP="006145A3">
      <w:pPr>
        <w:pStyle w:val="Para0"/>
      </w:pPr>
      <w:r w:rsidRPr="002639BB">
        <w:t xml:space="preserve">In a language revival setting, a case study on the Gumbaynggirr language shows that learning and speaking Gumbaynggirr language is strongly associated with a sense of identity and pride in being Gumbaynggirr </w:t>
      </w:r>
      <w:sdt>
        <w:sdtPr>
          <w:id w:val="-2071567770"/>
          <w:citation/>
        </w:sdtPr>
        <w:sdtEndPr/>
        <w:sdtContent>
          <w:r>
            <w:fldChar w:fldCharType="begin"/>
          </w:r>
          <w:r>
            <w:instrText xml:space="preserve"> CITATION Ang191 \l 2057 </w:instrText>
          </w:r>
          <w:r>
            <w:fldChar w:fldCharType="separate"/>
          </w:r>
          <w:r w:rsidRPr="006035B0">
            <w:rPr>
              <w:noProof/>
            </w:rPr>
            <w:t>(Angelo and Poetsch, 2019</w:t>
          </w:r>
          <w:r w:rsidRPr="006035B0">
            <w:rPr>
              <w:noProof/>
              <w:vertAlign w:val="subscript"/>
            </w:rPr>
            <w:t>[44]</w:t>
          </w:r>
          <w:r w:rsidRPr="006035B0">
            <w:rPr>
              <w:noProof/>
            </w:rPr>
            <w:t>)</w:t>
          </w:r>
          <w:r>
            <w:fldChar w:fldCharType="end"/>
          </w:r>
        </w:sdtContent>
      </w:sdt>
      <w:r w:rsidRPr="002639BB">
        <w:t xml:space="preserve">. The language is an important dimension of Gumbaynggirr identity. It is spoken of as a loss that can be regained, for example: "It was like something that was missing… and it's filled that hole for me" </w:t>
      </w:r>
      <w:sdt>
        <w:sdtPr>
          <w:id w:val="-1634316109"/>
          <w:citation/>
        </w:sdtPr>
        <w:sdtEndPr/>
        <w:sdtContent>
          <w:r>
            <w:fldChar w:fldCharType="begin"/>
          </w:r>
          <w:r>
            <w:instrText xml:space="preserve"> CITATION Web17 \l 2057 </w:instrText>
          </w:r>
          <w:r>
            <w:fldChar w:fldCharType="separate"/>
          </w:r>
          <w:r w:rsidRPr="006035B0">
            <w:rPr>
              <w:noProof/>
            </w:rPr>
            <w:t>(</w:t>
          </w:r>
          <w:bookmarkStart w:id="80" w:name="Web17_46"/>
          <w:r w:rsidRPr="006035B0">
            <w:rPr>
              <w:noProof/>
            </w:rPr>
            <w:t>Webb, 2017</w:t>
          </w:r>
          <w:r w:rsidRPr="006035B0">
            <w:rPr>
              <w:noProof/>
              <w:vertAlign w:val="subscript"/>
            </w:rPr>
            <w:t>[46]</w:t>
          </w:r>
          <w:r w:rsidRPr="006035B0">
            <w:rPr>
              <w:noProof/>
            </w:rPr>
            <w:t>)</w:t>
          </w:r>
          <w:bookmarkEnd w:id="80"/>
          <w:r>
            <w:fldChar w:fldCharType="end"/>
          </w:r>
        </w:sdtContent>
      </w:sdt>
      <w:r w:rsidRPr="002639BB">
        <w:t xml:space="preserve"> and "Reviving the language and getting into the culture helped me a lot", "I sort of found myself and my connection. I have a sense of belonging now." </w:t>
      </w:r>
      <w:sdt>
        <w:sdtPr>
          <w:id w:val="-1564402853"/>
          <w:citation/>
        </w:sdtPr>
        <w:sdtEndPr/>
        <w:sdtContent>
          <w:r>
            <w:fldChar w:fldCharType="begin"/>
          </w:r>
          <w:r>
            <w:instrText xml:space="preserve">CITATION Mar36 \l 2057 </w:instrText>
          </w:r>
          <w:r>
            <w:fldChar w:fldCharType="separate"/>
          </w:r>
          <w:r w:rsidRPr="006035B0">
            <w:rPr>
              <w:noProof/>
            </w:rPr>
            <w:t>(</w:t>
          </w:r>
          <w:bookmarkStart w:id="81" w:name="Mar36_47"/>
          <w:r w:rsidRPr="006035B0">
            <w:rPr>
              <w:noProof/>
            </w:rPr>
            <w:t>Marshall Jarrett, 2003</w:t>
          </w:r>
          <w:r w:rsidRPr="006035B0">
            <w:rPr>
              <w:noProof/>
              <w:vertAlign w:val="subscript"/>
            </w:rPr>
            <w:t>[47]</w:t>
          </w:r>
          <w:r w:rsidRPr="006035B0">
            <w:rPr>
              <w:noProof/>
            </w:rPr>
            <w:t>)</w:t>
          </w:r>
          <w:bookmarkEnd w:id="81"/>
          <w:r>
            <w:fldChar w:fldCharType="end"/>
          </w:r>
        </w:sdtContent>
      </w:sdt>
      <w:r>
        <w:t>.</w:t>
      </w:r>
      <w:r w:rsidRPr="002639BB">
        <w:t xml:space="preserve"> </w:t>
      </w:r>
    </w:p>
    <w:p w14:paraId="582D140D" w14:textId="77777777" w:rsidR="006145A3" w:rsidRPr="00BE681D" w:rsidRDefault="006145A3" w:rsidP="006145A3">
      <w:pPr>
        <w:pStyle w:val="Para0"/>
      </w:pPr>
      <w:r w:rsidRPr="00BE681D">
        <w:t>In Canada, language immersion in the Anishinaabemowin language has been shown to have positive effects on self-esteem for kindergarten children. The children are aged 4-6</w:t>
      </w:r>
      <w:r>
        <w:t> </w:t>
      </w:r>
      <w:r w:rsidRPr="00BE681D">
        <w:t>years old and attend junior kindergarten at a school which is intentionally aiming to revitalise Anishinaabemowin on Manitoulin Island in Ontario. This was part of a larger initiative to increase the use of Anishinaabemowin amongst the Nations of the United Chiefs and Council of Mnidoo Mnising. The children all speak English and have varying degrees of familiarity with Anishinaabemowin on entry. The findings concluded:</w:t>
      </w:r>
    </w:p>
    <w:p w14:paraId="546720F8" w14:textId="77777777" w:rsidR="006145A3" w:rsidRPr="00932C9D" w:rsidRDefault="006145A3" w:rsidP="006145A3">
      <w:pPr>
        <w:pStyle w:val="Quote"/>
      </w:pPr>
      <w:r w:rsidRPr="00932C9D">
        <w:t>The data presented here suggest that strong immersion holds great promise for the development of high personal self-esteem in kindergarten children….</w:t>
      </w:r>
    </w:p>
    <w:p w14:paraId="1368B9AA" w14:textId="77777777" w:rsidR="006145A3" w:rsidRPr="00932C9D" w:rsidRDefault="006145A3" w:rsidP="006145A3">
      <w:pPr>
        <w:pStyle w:val="Quote"/>
      </w:pPr>
      <w:r w:rsidRPr="00932C9D">
        <w:t xml:space="preserve">[The results] indicate that by bringing culture and language into the classroom in a meaningful way and reinforcing their value and sophistication, Aboriginal children can blossom in personal and cultural pride and a love of learning. </w:t>
      </w:r>
    </w:p>
    <w:p w14:paraId="33A773FE" w14:textId="77777777" w:rsidR="006145A3" w:rsidRPr="00932C9D" w:rsidRDefault="008D0BBE" w:rsidP="006145A3">
      <w:pPr>
        <w:pStyle w:val="Quote"/>
      </w:pPr>
      <w:sdt>
        <w:sdtPr>
          <w:id w:val="1348677470"/>
          <w:citation/>
        </w:sdtPr>
        <w:sdtEndPr/>
        <w:sdtContent>
          <w:r w:rsidR="006145A3">
            <w:fldChar w:fldCharType="begin"/>
          </w:r>
          <w:r w:rsidR="006145A3">
            <w:instrText xml:space="preserve"> CITATION Mor17 \l 2057 </w:instrText>
          </w:r>
          <w:r w:rsidR="006145A3">
            <w:fldChar w:fldCharType="separate"/>
          </w:r>
          <w:r w:rsidR="006145A3" w:rsidRPr="006035B0">
            <w:rPr>
              <w:noProof/>
            </w:rPr>
            <w:t>(</w:t>
          </w:r>
          <w:bookmarkStart w:id="82" w:name="Mor17_48"/>
          <w:r w:rsidR="006145A3" w:rsidRPr="006035B0">
            <w:rPr>
              <w:noProof/>
            </w:rPr>
            <w:t>Morcom, 2017</w:t>
          </w:r>
          <w:r w:rsidR="006145A3" w:rsidRPr="006035B0">
            <w:rPr>
              <w:noProof/>
              <w:vertAlign w:val="subscript"/>
            </w:rPr>
            <w:t>[48]</w:t>
          </w:r>
          <w:r w:rsidR="006145A3" w:rsidRPr="006035B0">
            <w:rPr>
              <w:noProof/>
            </w:rPr>
            <w:t>)</w:t>
          </w:r>
          <w:bookmarkEnd w:id="82"/>
          <w:r w:rsidR="006145A3">
            <w:fldChar w:fldCharType="end"/>
          </w:r>
        </w:sdtContent>
      </w:sdt>
    </w:p>
    <w:p w14:paraId="3A19AAD2" w14:textId="77777777" w:rsidR="006145A3" w:rsidRPr="00F477C2" w:rsidRDefault="006145A3" w:rsidP="006145A3">
      <w:pPr>
        <w:pStyle w:val="Para0"/>
      </w:pPr>
      <w:r w:rsidRPr="00F477C2">
        <w:t xml:space="preserve">A number of empirical studies have shown links between Indigenous languages and emotional health and well-being </w:t>
      </w:r>
      <w:sdt>
        <w:sdtPr>
          <w:id w:val="-1133870575"/>
          <w:citation/>
        </w:sdtPr>
        <w:sdtEndPr/>
        <w:sdtContent>
          <w:r>
            <w:fldChar w:fldCharType="begin"/>
          </w:r>
          <w:r>
            <w:instrText xml:space="preserve"> CITATION Ang192 \l 2057 </w:instrText>
          </w:r>
          <w:r>
            <w:fldChar w:fldCharType="separate"/>
          </w:r>
          <w:r w:rsidRPr="006035B0">
            <w:rPr>
              <w:noProof/>
            </w:rPr>
            <w:t>(</w:t>
          </w:r>
          <w:bookmarkStart w:id="83" w:name="Ang192_49"/>
          <w:r w:rsidRPr="006035B0">
            <w:rPr>
              <w:noProof/>
            </w:rPr>
            <w:t>Angelo et al., 2019</w:t>
          </w:r>
          <w:r w:rsidRPr="006035B0">
            <w:rPr>
              <w:noProof/>
              <w:vertAlign w:val="subscript"/>
            </w:rPr>
            <w:t>[49]</w:t>
          </w:r>
          <w:r w:rsidRPr="006035B0">
            <w:rPr>
              <w:noProof/>
            </w:rPr>
            <w:t>)</w:t>
          </w:r>
          <w:bookmarkEnd w:id="83"/>
          <w:r>
            <w:fldChar w:fldCharType="end"/>
          </w:r>
        </w:sdtContent>
      </w:sdt>
      <w:r w:rsidRPr="00F477C2">
        <w:t xml:space="preserve">, including a </w:t>
      </w:r>
      <w:r>
        <w:t>Canadian study that found that “</w:t>
      </w:r>
      <w:r w:rsidRPr="00F477C2">
        <w:t>cultural continuity</w:t>
      </w:r>
      <w:r>
        <w:t>”</w:t>
      </w:r>
      <w:r w:rsidRPr="00F477C2">
        <w:t xml:space="preserve">, which included Indigenous language, was a protective factor against youth suicide </w:t>
      </w:r>
      <w:sdt>
        <w:sdtPr>
          <w:id w:val="2133436227"/>
          <w:citation/>
        </w:sdtPr>
        <w:sdtEndPr/>
        <w:sdtContent>
          <w:r>
            <w:fldChar w:fldCharType="begin"/>
          </w:r>
          <w:r>
            <w:instrText xml:space="preserve"> CITATION Cha98 \l 2057 </w:instrText>
          </w:r>
          <w:r>
            <w:fldChar w:fldCharType="separate"/>
          </w:r>
          <w:r w:rsidRPr="00CA02DA">
            <w:rPr>
              <w:noProof/>
            </w:rPr>
            <w:t>(</w:t>
          </w:r>
          <w:bookmarkStart w:id="84" w:name="Cha98_50"/>
          <w:r w:rsidRPr="00CA02DA">
            <w:rPr>
              <w:noProof/>
            </w:rPr>
            <w:t>Chandler and Lalonde, 1998</w:t>
          </w:r>
          <w:r w:rsidRPr="00CA02DA">
            <w:rPr>
              <w:noProof/>
              <w:vertAlign w:val="subscript"/>
            </w:rPr>
            <w:t>[50]</w:t>
          </w:r>
          <w:r w:rsidRPr="00CA02DA">
            <w:rPr>
              <w:noProof/>
            </w:rPr>
            <w:t>)</w:t>
          </w:r>
          <w:bookmarkEnd w:id="84"/>
          <w:r>
            <w:fldChar w:fldCharType="end"/>
          </w:r>
        </w:sdtContent>
      </w:sdt>
      <w:r w:rsidRPr="00F477C2">
        <w:t xml:space="preserve">. Following this, Canadian census data have been used to investigate the effects of community-level knowledge of Aboriginal language and youth suicide </w:t>
      </w:r>
      <w:sdt>
        <w:sdtPr>
          <w:id w:val="-532341274"/>
          <w:citation/>
        </w:sdtPr>
        <w:sdtEndPr/>
        <w:sdtContent>
          <w:r>
            <w:fldChar w:fldCharType="begin"/>
          </w:r>
          <w:r>
            <w:instrText xml:space="preserve">CITATION Hal \l 2057 </w:instrText>
          </w:r>
          <w:r>
            <w:fldChar w:fldCharType="separate"/>
          </w:r>
          <w:r w:rsidRPr="00CA02DA">
            <w:rPr>
              <w:noProof/>
            </w:rPr>
            <w:t>(</w:t>
          </w:r>
          <w:bookmarkStart w:id="85" w:name="Hal_51"/>
          <w:r w:rsidRPr="00CA02DA">
            <w:rPr>
              <w:noProof/>
            </w:rPr>
            <w:t>Hallet, Chandler and Lalonde, 2007</w:t>
          </w:r>
          <w:r w:rsidRPr="00CA02DA">
            <w:rPr>
              <w:noProof/>
              <w:vertAlign w:val="subscript"/>
            </w:rPr>
            <w:t>[51]</w:t>
          </w:r>
          <w:r w:rsidRPr="00CA02DA">
            <w:rPr>
              <w:noProof/>
            </w:rPr>
            <w:t>)</w:t>
          </w:r>
          <w:bookmarkEnd w:id="85"/>
          <w:r>
            <w:fldChar w:fldCharType="end"/>
          </w:r>
        </w:sdtContent>
      </w:sdt>
      <w:r w:rsidRPr="00F477C2">
        <w:t>. Language knowledge had predictive power ov</w:t>
      </w:r>
      <w:r>
        <w:t>er and above that of six other “</w:t>
      </w:r>
      <w:r w:rsidRPr="00F477C2">
        <w:t>cultural continuity</w:t>
      </w:r>
      <w:r>
        <w:t>”</w:t>
      </w:r>
      <w:r w:rsidRPr="00F477C2">
        <w:t xml:space="preserve"> factors (self-government, land claims, education, health care, cultural facilities, police and fire services), and youth suicide rates effectively dropped to zero in those few communities in which at least half the band members reported a convers</w:t>
      </w:r>
      <w:r>
        <w:t>ational knowledge of their own “</w:t>
      </w:r>
      <w:r w:rsidRPr="00F477C2">
        <w:t>Native language</w:t>
      </w:r>
      <w:r>
        <w:t>”</w:t>
      </w:r>
      <w:r w:rsidRPr="00F477C2">
        <w:t xml:space="preserve">. </w:t>
      </w:r>
    </w:p>
    <w:p w14:paraId="05BB0213" w14:textId="77777777" w:rsidR="006145A3" w:rsidRPr="00F477C2" w:rsidRDefault="006145A3" w:rsidP="006145A3">
      <w:pPr>
        <w:pStyle w:val="Para0"/>
      </w:pPr>
      <w:r w:rsidRPr="00F477C2">
        <w:lastRenderedPageBreak/>
        <w:t xml:space="preserve">Racism at school not only affects students' ability to learn but also imperils school-community collaboration </w:t>
      </w:r>
      <w:sdt>
        <w:sdtPr>
          <w:id w:val="970484952"/>
          <w:citation/>
        </w:sdtPr>
        <w:sdtEndPr/>
        <w:sdtContent>
          <w:r>
            <w:fldChar w:fldCharType="begin"/>
          </w:r>
          <w:r>
            <w:instrText xml:space="preserve"> CITATION Moo19 \l 2057 </w:instrText>
          </w:r>
          <w:r>
            <w:fldChar w:fldCharType="separate"/>
          </w:r>
          <w:r w:rsidRPr="00525122">
            <w:rPr>
              <w:noProof/>
            </w:rPr>
            <w:t>(</w:t>
          </w:r>
          <w:bookmarkStart w:id="86" w:name="Moo19_52"/>
          <w:r w:rsidRPr="00525122">
            <w:rPr>
              <w:noProof/>
            </w:rPr>
            <w:t>Moodie, Maxwell and Rudolph, 2019</w:t>
          </w:r>
          <w:r w:rsidRPr="00525122">
            <w:rPr>
              <w:noProof/>
              <w:vertAlign w:val="subscript"/>
            </w:rPr>
            <w:t>[52]</w:t>
          </w:r>
          <w:r w:rsidRPr="00525122">
            <w:rPr>
              <w:noProof/>
            </w:rPr>
            <w:t>)</w:t>
          </w:r>
          <w:bookmarkEnd w:id="86"/>
          <w:r>
            <w:fldChar w:fldCharType="end"/>
          </w:r>
        </w:sdtContent>
      </w:sdt>
      <w:r w:rsidRPr="00F477C2">
        <w:t xml:space="preserve">. Language programmes have been found to reduce racism experienced by Indigenous students in school and thus benefit school-community relations. Geoff Anderson, of the Parkes Wiradjuri Language Group in </w:t>
      </w:r>
      <w:r>
        <w:rPr>
          <w:bCs/>
        </w:rPr>
        <w:t>New South Wales</w:t>
      </w:r>
      <w:r w:rsidRPr="00F477C2">
        <w:t>, Australia, discusses how racism has been reduced by the Wiradjuri school language program:</w:t>
      </w:r>
    </w:p>
    <w:p w14:paraId="724B46D3" w14:textId="77777777" w:rsidR="006145A3" w:rsidRPr="00932C9D" w:rsidRDefault="006145A3" w:rsidP="006145A3">
      <w:pPr>
        <w:pStyle w:val="Quote"/>
      </w:pPr>
      <w:r w:rsidRPr="00932C9D">
        <w:t xml:space="preserve">The benefits of Aboriginal languages taught in schools can be astronomical. For example there is one school in our town with students from numerous different ethnic backgrounds. By teaching Wiradjuri, the first culture of this country, the whole school community (including students, teachers, parents) also becomes respectful of all cultures, so much that we boast zero racism. Through learning to respect and trust our local Aboriginal culture, they become open to other cultures as well. </w:t>
      </w:r>
    </w:p>
    <w:p w14:paraId="4CE90822" w14:textId="77777777" w:rsidR="006145A3" w:rsidRPr="00932C9D" w:rsidRDefault="006145A3" w:rsidP="006145A3">
      <w:pPr>
        <w:pStyle w:val="Quote"/>
      </w:pPr>
      <w:r w:rsidRPr="00932C9D">
        <w:t xml:space="preserve">Geoff Anderson, Parkes Wiradjuri Language Group </w:t>
      </w:r>
      <w:sdt>
        <w:sdtPr>
          <w:id w:val="-871223667"/>
          <w:citation/>
        </w:sdtPr>
        <w:sdtEndPr/>
        <w:sdtContent>
          <w:r>
            <w:fldChar w:fldCharType="begin"/>
          </w:r>
          <w:r>
            <w:instrText xml:space="preserve">CITATION Ausnd \l 2057 </w:instrText>
          </w:r>
          <w:r>
            <w:fldChar w:fldCharType="separate"/>
          </w:r>
          <w:r w:rsidRPr="004D5A73">
            <w:rPr>
              <w:noProof/>
            </w:rPr>
            <w:t>(</w:t>
          </w:r>
          <w:bookmarkStart w:id="87" w:name="Ausnd_53"/>
          <w:r w:rsidRPr="004D5A73">
            <w:rPr>
              <w:noProof/>
            </w:rPr>
            <w:t>Australian Curriculum Assessment and Reporting Authority, n.d.</w:t>
          </w:r>
          <w:r w:rsidRPr="004D5A73">
            <w:rPr>
              <w:noProof/>
              <w:vertAlign w:val="subscript"/>
            </w:rPr>
            <w:t>[53]</w:t>
          </w:r>
          <w:r w:rsidRPr="004D5A73">
            <w:rPr>
              <w:noProof/>
            </w:rPr>
            <w:t>)</w:t>
          </w:r>
          <w:bookmarkEnd w:id="87"/>
          <w:r>
            <w:fldChar w:fldCharType="end"/>
          </w:r>
        </w:sdtContent>
      </w:sdt>
    </w:p>
    <w:p w14:paraId="22E9E761" w14:textId="77777777" w:rsidR="006145A3" w:rsidRDefault="006145A3" w:rsidP="006145A3">
      <w:pPr>
        <w:pStyle w:val="Para0"/>
      </w:pPr>
      <w:r w:rsidRPr="004B0013">
        <w:t xml:space="preserve">Mother tongue programmes offer bountiful opportunities for rich and positive community connections with the school. In settler-colonial societies, national languages have often been allowed to dominate in the education space, with little thought for the effects on the community and their children. Mother tongue programmes stand as irrefutable evidence that the community's own Indigenous language and culture is valuable, because it is supported through education, not pushed to one side and ignored as somehow immaterial. </w:t>
      </w:r>
    </w:p>
    <w:p w14:paraId="025E44B7" w14:textId="77777777" w:rsidR="006145A3" w:rsidRPr="004B0013" w:rsidRDefault="006145A3" w:rsidP="006145A3">
      <w:pPr>
        <w:pStyle w:val="Para0"/>
      </w:pPr>
      <w:r>
        <w:t>A</w:t>
      </w:r>
      <w:r w:rsidRPr="004B0013">
        <w:t xml:space="preserve"> study </w:t>
      </w:r>
      <w:r>
        <w:t>on</w:t>
      </w:r>
      <w:r w:rsidRPr="004B0013">
        <w:t xml:space="preserve"> two Nunavut high schools implementing bilingual approaches</w:t>
      </w:r>
      <w:r>
        <w:t>,</w:t>
      </w:r>
      <w:r w:rsidRPr="004B0013">
        <w:t xml:space="preserve"> based on extensive interviews with Inuit students, parents, staff and community members</w:t>
      </w:r>
      <w:r>
        <w:t xml:space="preserve"> </w:t>
      </w:r>
      <w:sdt>
        <w:sdtPr>
          <w:id w:val="26545549"/>
          <w:citation/>
        </w:sdtPr>
        <w:sdtEndPr/>
        <w:sdtContent>
          <w:r>
            <w:fldChar w:fldCharType="begin"/>
          </w:r>
          <w:r>
            <w:instrText xml:space="preserve"> CITATION Tul16 \l 2057 </w:instrText>
          </w:r>
          <w:r>
            <w:fldChar w:fldCharType="separate"/>
          </w:r>
          <w:r w:rsidRPr="00001702">
            <w:rPr>
              <w:noProof/>
            </w:rPr>
            <w:t>(</w:t>
          </w:r>
          <w:bookmarkStart w:id="88" w:name="Tul16_54"/>
          <w:r w:rsidRPr="00001702">
            <w:rPr>
              <w:noProof/>
            </w:rPr>
            <w:t>Tulloch, 2016</w:t>
          </w:r>
          <w:r w:rsidRPr="00001702">
            <w:rPr>
              <w:noProof/>
              <w:vertAlign w:val="subscript"/>
            </w:rPr>
            <w:t>[54]</w:t>
          </w:r>
          <w:r w:rsidRPr="00001702">
            <w:rPr>
              <w:noProof/>
            </w:rPr>
            <w:t>)</w:t>
          </w:r>
          <w:bookmarkEnd w:id="88"/>
          <w:r>
            <w:fldChar w:fldCharType="end"/>
          </w:r>
        </w:sdtContent>
      </w:sdt>
      <w:r>
        <w:t>,</w:t>
      </w:r>
      <w:r w:rsidRPr="004B0013">
        <w:t xml:space="preserve"> </w:t>
      </w:r>
      <w:r>
        <w:t>found</w:t>
      </w:r>
      <w:r w:rsidRPr="004B0013">
        <w:t xml:space="preserve"> that the bilingual approach (in Inuktitut language with </w:t>
      </w:r>
      <w:r w:rsidRPr="004B0013">
        <w:rPr>
          <w:i/>
          <w:iCs/>
        </w:rPr>
        <w:t>Inuit qaujimajatuqangit</w:t>
      </w:r>
      <w:r w:rsidRPr="004B0013">
        <w:t xml:space="preserve"> (IQ) knowledges and values) encourage</w:t>
      </w:r>
      <w:r>
        <w:t>d</w:t>
      </w:r>
      <w:r w:rsidRPr="004B0013">
        <w:t xml:space="preserve"> positive connections between the students, community and the school. The bilingual approach supported by Inuit in leadership positions in each school corrected the previous imbalance between Indigenous and non-Indigenous language and knowledge in the school, overturning what the</w:t>
      </w:r>
      <w:r>
        <w:t xml:space="preserve"> community had perceived to be “unjust power relations”</w:t>
      </w:r>
      <w:r w:rsidRPr="004B0013">
        <w:t xml:space="preserve"> </w:t>
      </w:r>
      <w:sdt>
        <w:sdtPr>
          <w:id w:val="809826631"/>
          <w:citation/>
        </w:sdtPr>
        <w:sdtEndPr/>
        <w:sdtContent>
          <w:r>
            <w:fldChar w:fldCharType="begin"/>
          </w:r>
          <w:r>
            <w:instrText xml:space="preserve">CITATION Tul16 \p 194 \n  \y  \l 2057 </w:instrText>
          </w:r>
          <w:r>
            <w:fldChar w:fldCharType="separate"/>
          </w:r>
          <w:r w:rsidRPr="00001702">
            <w:rPr>
              <w:noProof/>
            </w:rPr>
            <w:t>(p. 194</w:t>
          </w:r>
          <w:r w:rsidRPr="00001702">
            <w:rPr>
              <w:noProof/>
              <w:vertAlign w:val="subscript"/>
            </w:rPr>
            <w:t>[54]</w:t>
          </w:r>
          <w:r w:rsidRPr="00001702">
            <w:rPr>
              <w:noProof/>
            </w:rPr>
            <w:t>)</w:t>
          </w:r>
          <w:r>
            <w:fldChar w:fldCharType="end"/>
          </w:r>
        </w:sdtContent>
      </w:sdt>
      <w:r w:rsidRPr="004B0013">
        <w:t>.</w:t>
      </w:r>
    </w:p>
    <w:p w14:paraId="757ED71A" w14:textId="77777777" w:rsidR="006145A3" w:rsidRPr="004B0013" w:rsidRDefault="006145A3" w:rsidP="006145A3">
      <w:pPr>
        <w:pStyle w:val="Para0"/>
      </w:pPr>
      <w:r w:rsidRPr="004B0013">
        <w:t xml:space="preserve">One of the major dynamics underpinning improved community engagement is the increased use of Inuktitut language in the school: </w:t>
      </w:r>
    </w:p>
    <w:p w14:paraId="1E0EEA40" w14:textId="77777777" w:rsidR="006145A3" w:rsidRPr="00932C9D" w:rsidRDefault="006145A3" w:rsidP="006145A3">
      <w:pPr>
        <w:pStyle w:val="Quote"/>
      </w:pPr>
      <w:r w:rsidRPr="00932C9D">
        <w:t>Having an Inuk principal who supervises in Inuktitut language has improved morale amongst the staff, students, and the parents all around. It has even opened the line of communications</w:t>
      </w:r>
    </w:p>
    <w:p w14:paraId="3D3D4FB9" w14:textId="77777777" w:rsidR="006145A3" w:rsidRPr="00932C9D" w:rsidRDefault="006145A3" w:rsidP="006145A3">
      <w:pPr>
        <w:pStyle w:val="Quote"/>
      </w:pPr>
      <w:r w:rsidRPr="00932C9D">
        <w:t xml:space="preserve">Parent quoted in </w:t>
      </w:r>
      <w:sdt>
        <w:sdtPr>
          <w:id w:val="1750151973"/>
          <w:citation/>
        </w:sdtPr>
        <w:sdtEndPr/>
        <w:sdtContent>
          <w:r>
            <w:fldChar w:fldCharType="begin"/>
          </w:r>
          <w:r>
            <w:instrText xml:space="preserve"> CITATION Tul16 \l 2057 </w:instrText>
          </w:r>
          <w:r>
            <w:fldChar w:fldCharType="separate"/>
          </w:r>
          <w:r w:rsidRPr="00001702">
            <w:rPr>
              <w:noProof/>
            </w:rPr>
            <w:t>(Tulloch, 2016</w:t>
          </w:r>
          <w:r w:rsidRPr="00001702">
            <w:rPr>
              <w:noProof/>
              <w:vertAlign w:val="subscript"/>
            </w:rPr>
            <w:t>[54]</w:t>
          </w:r>
          <w:r w:rsidRPr="00001702">
            <w:rPr>
              <w:noProof/>
            </w:rPr>
            <w:t>)</w:t>
          </w:r>
          <w:r>
            <w:fldChar w:fldCharType="end"/>
          </w:r>
        </w:sdtContent>
      </w:sdt>
      <w:r w:rsidRPr="00932C9D">
        <w:t xml:space="preserve">   </w:t>
      </w:r>
    </w:p>
    <w:p w14:paraId="74284811" w14:textId="77777777" w:rsidR="006145A3" w:rsidRPr="004B0013" w:rsidRDefault="006145A3" w:rsidP="006145A3">
      <w:pPr>
        <w:pStyle w:val="Para0"/>
      </w:pPr>
      <w:r w:rsidRPr="004B0013">
        <w:t xml:space="preserve">Many interviewees mention the more welcoming dynamics which Inuktitut conveys, but they are also clear about the practical communication benefits: </w:t>
      </w:r>
    </w:p>
    <w:p w14:paraId="4861A88A" w14:textId="77777777" w:rsidR="006145A3" w:rsidRPr="00932C9D" w:rsidRDefault="006145A3" w:rsidP="006145A3">
      <w:pPr>
        <w:pStyle w:val="Quote"/>
      </w:pPr>
      <w:r w:rsidRPr="00932C9D">
        <w:t xml:space="preserve">The information we are getting is not all in English anymore. We're now being informed in Inuktitut. Before I became a Board member, we had a Qallunaaq [non-Inuit] principal. I kept being asked to be on the Board but </w:t>
      </w:r>
      <w:r>
        <w:t>we kept hearing that they [i.e. </w:t>
      </w:r>
      <w:r w:rsidRPr="00932C9D">
        <w:t>the Board]</w:t>
      </w:r>
      <w:r>
        <w:t xml:space="preserve"> </w:t>
      </w:r>
      <w:r w:rsidRPr="00932C9D">
        <w:t>couldn't understand the documents they were receiving that were written in English, like the information they used to take home. [...] Also, meeting in your own language and speaking to the board without having to pause [...] makes it so much easier and faster.</w:t>
      </w:r>
    </w:p>
    <w:p w14:paraId="658B936B" w14:textId="77777777" w:rsidR="006145A3" w:rsidRPr="00932C9D" w:rsidRDefault="006145A3" w:rsidP="006145A3">
      <w:pPr>
        <w:pStyle w:val="Quote"/>
      </w:pPr>
      <w:r w:rsidRPr="00932C9D">
        <w:t xml:space="preserve">Arnaq, a Clyde River District Education Authority Board Member quoted in </w:t>
      </w:r>
      <w:sdt>
        <w:sdtPr>
          <w:id w:val="-978448887"/>
          <w:citation/>
        </w:sdtPr>
        <w:sdtEndPr/>
        <w:sdtContent>
          <w:r>
            <w:fldChar w:fldCharType="begin"/>
          </w:r>
          <w:r>
            <w:instrText xml:space="preserve"> CITATION Tul16 \l 2057 </w:instrText>
          </w:r>
          <w:r>
            <w:fldChar w:fldCharType="separate"/>
          </w:r>
          <w:r w:rsidRPr="00001702">
            <w:rPr>
              <w:noProof/>
            </w:rPr>
            <w:t>(Tulloch, 2016</w:t>
          </w:r>
          <w:r w:rsidRPr="00001702">
            <w:rPr>
              <w:noProof/>
              <w:vertAlign w:val="subscript"/>
            </w:rPr>
            <w:t>[54]</w:t>
          </w:r>
          <w:r w:rsidRPr="00001702">
            <w:rPr>
              <w:noProof/>
            </w:rPr>
            <w:t>)</w:t>
          </w:r>
          <w:r>
            <w:fldChar w:fldCharType="end"/>
          </w:r>
        </w:sdtContent>
      </w:sdt>
      <w:r w:rsidRPr="00932C9D">
        <w:t xml:space="preserve">  </w:t>
      </w:r>
    </w:p>
    <w:p w14:paraId="36A34F2E" w14:textId="77777777" w:rsidR="006145A3" w:rsidRPr="00EE5858" w:rsidRDefault="006145A3" w:rsidP="006145A3">
      <w:pPr>
        <w:pStyle w:val="Heading3"/>
        <w:numPr>
          <w:ilvl w:val="2"/>
          <w:numId w:val="22"/>
        </w:numPr>
        <w:rPr>
          <w:rFonts w:ascii="Times New Roman" w:hAnsi="Times New Roman" w:cs="Times New Roman"/>
        </w:rPr>
      </w:pPr>
      <w:r w:rsidRPr="00EE5858">
        <w:rPr>
          <w:rFonts w:ascii="Times New Roman" w:hAnsi="Times New Roman" w:cs="Times New Roman"/>
        </w:rPr>
        <w:t>Higher rates of retention</w:t>
      </w:r>
    </w:p>
    <w:p w14:paraId="32217359" w14:textId="0F9B9BA9" w:rsidR="006145A3" w:rsidRPr="008A4AA8" w:rsidRDefault="006145A3" w:rsidP="006145A3">
      <w:pPr>
        <w:pStyle w:val="Para0"/>
      </w:pPr>
      <w:r w:rsidRPr="008A4AA8">
        <w:rPr>
          <w:bCs/>
        </w:rPr>
        <w:t xml:space="preserve">In </w:t>
      </w:r>
      <w:r>
        <w:rPr>
          <w:bCs/>
        </w:rPr>
        <w:t>Aotearoa New Zealand</w:t>
      </w:r>
      <w:r w:rsidRPr="008A4AA8">
        <w:rPr>
          <w:bCs/>
        </w:rPr>
        <w:t xml:space="preserve">, </w:t>
      </w:r>
      <w:r w:rsidRPr="008A4AA8">
        <w:t>comparisons between Māori students in Māori-medium and in English</w:t>
      </w:r>
      <w:r>
        <w:t xml:space="preserve"> </w:t>
      </w:r>
      <w:r w:rsidRPr="008A4AA8">
        <w:t xml:space="preserve">medium </w:t>
      </w:r>
      <w:r w:rsidR="00802DDB">
        <w:t xml:space="preserve">education </w:t>
      </w:r>
      <w:r w:rsidRPr="008A4AA8">
        <w:t>for 2016 show that retention until age</w:t>
      </w:r>
      <w:r>
        <w:t> </w:t>
      </w:r>
      <w:r w:rsidRPr="008A4AA8">
        <w:t xml:space="preserve">17 or over is higher in Māori-medium. </w:t>
      </w:r>
    </w:p>
    <w:p w14:paraId="4852FCCA" w14:textId="01C69BCD" w:rsidR="006145A3" w:rsidRDefault="006145A3" w:rsidP="006145A3">
      <w:pPr>
        <w:pStyle w:val="Caption"/>
      </w:pPr>
      <w:bookmarkStart w:id="89" w:name="_Toc95824134"/>
      <w:bookmarkStart w:id="90" w:name="_Toc79418117"/>
      <w:r>
        <w:lastRenderedPageBreak/>
        <w:t>Table </w:t>
      </w:r>
      <w:r>
        <w:rPr>
          <w:noProof/>
        </w:rPr>
        <w:fldChar w:fldCharType="begin"/>
      </w:r>
      <w:r>
        <w:rPr>
          <w:noProof/>
        </w:rPr>
        <w:instrText xml:space="preserve"> STYLEREF 1 \s </w:instrText>
      </w:r>
      <w:r>
        <w:rPr>
          <w:noProof/>
        </w:rPr>
        <w:fldChar w:fldCharType="separate"/>
      </w:r>
      <w:r w:rsidR="00CA5B8D">
        <w:rPr>
          <w:noProof/>
        </w:rPr>
        <w:t>3</w:t>
      </w:r>
      <w:r>
        <w:rPr>
          <w:noProof/>
        </w:rPr>
        <w:fldChar w:fldCharType="end"/>
      </w:r>
      <w:r>
        <w:t>.</w:t>
      </w:r>
      <w:r>
        <w:rPr>
          <w:noProof/>
        </w:rPr>
        <w:fldChar w:fldCharType="begin"/>
      </w:r>
      <w:r>
        <w:rPr>
          <w:noProof/>
        </w:rPr>
        <w:instrText xml:space="preserve"> SEQ Table \* ARABIC \s 1 </w:instrText>
      </w:r>
      <w:r>
        <w:rPr>
          <w:noProof/>
        </w:rPr>
        <w:fldChar w:fldCharType="separate"/>
      </w:r>
      <w:r w:rsidR="00CA5B8D">
        <w:rPr>
          <w:noProof/>
        </w:rPr>
        <w:t>1</w:t>
      </w:r>
      <w:r>
        <w:rPr>
          <w:noProof/>
        </w:rPr>
        <w:fldChar w:fldCharType="end"/>
      </w:r>
      <w:r>
        <w:t xml:space="preserve">. </w:t>
      </w:r>
      <w:r w:rsidRPr="00E04B09">
        <w:t>Māori-medium school leavers compared to whole Māori cohort</w:t>
      </w:r>
      <w:bookmarkEnd w:id="89"/>
    </w:p>
    <w:tbl>
      <w:tblPr>
        <w:tblStyle w:val="OECD"/>
        <w:tblW w:w="7938" w:type="dxa"/>
        <w:tblLook w:val="04A0" w:firstRow="1" w:lastRow="0" w:firstColumn="1" w:lastColumn="0" w:noHBand="0" w:noVBand="1"/>
      </w:tblPr>
      <w:tblGrid>
        <w:gridCol w:w="5782"/>
        <w:gridCol w:w="2156"/>
      </w:tblGrid>
      <w:tr w:rsidR="006145A3" w14:paraId="5185EEAB" w14:textId="77777777" w:rsidTr="003E4CEC">
        <w:trPr>
          <w:cnfStyle w:val="100000000000" w:firstRow="1" w:lastRow="0" w:firstColumn="0" w:lastColumn="0" w:oddVBand="0" w:evenVBand="0" w:oddHBand="0" w:evenHBand="0" w:firstRowFirstColumn="0" w:firstRowLastColumn="0" w:lastRowFirstColumn="0" w:lastRowLastColumn="0"/>
        </w:trPr>
        <w:tc>
          <w:tcPr>
            <w:tcW w:w="0" w:type="auto"/>
            <w:hideMark/>
          </w:tcPr>
          <w:p w14:paraId="32B8BAF5" w14:textId="77777777" w:rsidR="006145A3" w:rsidRPr="00E04B09" w:rsidRDefault="006145A3" w:rsidP="003E4CEC">
            <w:pPr>
              <w:pStyle w:val="TableColumn"/>
              <w:rPr>
                <w:b/>
              </w:rPr>
            </w:pPr>
            <w:r w:rsidRPr="00E04B09">
              <w:rPr>
                <w:b/>
              </w:rPr>
              <w:t xml:space="preserve">Secondary Education </w:t>
            </w:r>
          </w:p>
        </w:tc>
        <w:tc>
          <w:tcPr>
            <w:tcW w:w="0" w:type="auto"/>
            <w:hideMark/>
          </w:tcPr>
          <w:p w14:paraId="73E92038" w14:textId="77777777" w:rsidR="006145A3" w:rsidRPr="00E04B09" w:rsidRDefault="006145A3" w:rsidP="003E4CEC">
            <w:pPr>
              <w:pStyle w:val="TableColumn"/>
              <w:rPr>
                <w:b/>
              </w:rPr>
            </w:pPr>
            <w:r w:rsidRPr="00E04B09">
              <w:rPr>
                <w:b/>
              </w:rPr>
              <w:t xml:space="preserve">2016  </w:t>
            </w:r>
          </w:p>
        </w:tc>
      </w:tr>
      <w:tr w:rsidR="006145A3" w14:paraId="56E9814D" w14:textId="77777777" w:rsidTr="003E4CEC">
        <w:tc>
          <w:tcPr>
            <w:tcW w:w="0" w:type="auto"/>
            <w:hideMark/>
          </w:tcPr>
          <w:p w14:paraId="1A21E65F" w14:textId="77777777" w:rsidR="006145A3" w:rsidRDefault="006145A3" w:rsidP="003E4CEC">
            <w:pPr>
              <w:pStyle w:val="TableRow"/>
            </w:pPr>
            <w:r>
              <w:t>Maori school leavers (all mediums)</w:t>
            </w:r>
          </w:p>
          <w:p w14:paraId="218F9298" w14:textId="77777777" w:rsidR="006145A3" w:rsidRDefault="006145A3" w:rsidP="003E4CEC">
            <w:pPr>
              <w:pStyle w:val="TableRow"/>
            </w:pPr>
            <w:r>
              <w:t>- staying in school until age 17 or above</w:t>
            </w:r>
          </w:p>
        </w:tc>
        <w:tc>
          <w:tcPr>
            <w:tcW w:w="0" w:type="auto"/>
            <w:hideMark/>
          </w:tcPr>
          <w:p w14:paraId="1BF7A105" w14:textId="77777777" w:rsidR="006145A3" w:rsidRDefault="006145A3" w:rsidP="003E4CEC">
            <w:pPr>
              <w:pStyle w:val="TableRow"/>
            </w:pPr>
            <w:r>
              <w:t>13 738 total leavers</w:t>
            </w:r>
          </w:p>
          <w:p w14:paraId="05E90174" w14:textId="77777777" w:rsidR="006145A3" w:rsidRDefault="006145A3" w:rsidP="003E4CEC">
            <w:pPr>
              <w:pStyle w:val="TableRow"/>
            </w:pPr>
            <w:r>
              <w:t xml:space="preserve">70.9% </w:t>
            </w:r>
          </w:p>
        </w:tc>
      </w:tr>
      <w:tr w:rsidR="006145A3" w14:paraId="375652F1" w14:textId="77777777" w:rsidTr="003E4CEC">
        <w:tc>
          <w:tcPr>
            <w:tcW w:w="0" w:type="auto"/>
            <w:hideMark/>
          </w:tcPr>
          <w:p w14:paraId="57124FB9" w14:textId="77777777" w:rsidR="006145A3" w:rsidRDefault="006145A3" w:rsidP="003E4CEC">
            <w:pPr>
              <w:pStyle w:val="TableRow"/>
            </w:pPr>
            <w:r>
              <w:t>Maori school leavers from Maori-medium education (MME)</w:t>
            </w:r>
          </w:p>
          <w:p w14:paraId="7489437F" w14:textId="77777777" w:rsidR="006145A3" w:rsidRDefault="006145A3" w:rsidP="003E4CEC">
            <w:pPr>
              <w:pStyle w:val="TableRow"/>
            </w:pPr>
            <w:r>
              <w:t>- staying in school until age 17 or above</w:t>
            </w:r>
          </w:p>
        </w:tc>
        <w:tc>
          <w:tcPr>
            <w:tcW w:w="0" w:type="auto"/>
            <w:hideMark/>
          </w:tcPr>
          <w:p w14:paraId="50EF506D" w14:textId="77777777" w:rsidR="006145A3" w:rsidRDefault="006145A3" w:rsidP="003E4CEC">
            <w:pPr>
              <w:pStyle w:val="TableRow"/>
            </w:pPr>
            <w:r>
              <w:t>353 students</w:t>
            </w:r>
          </w:p>
          <w:p w14:paraId="07ED5804" w14:textId="77777777" w:rsidR="006145A3" w:rsidRDefault="006145A3" w:rsidP="003E4CEC">
            <w:pPr>
              <w:pStyle w:val="TableRow"/>
            </w:pPr>
            <w:r>
              <w:t xml:space="preserve">77.6% </w:t>
            </w:r>
          </w:p>
        </w:tc>
      </w:tr>
    </w:tbl>
    <w:p w14:paraId="05B8B7F4" w14:textId="77777777" w:rsidR="006145A3" w:rsidRPr="00454399" w:rsidRDefault="006145A3" w:rsidP="006145A3">
      <w:pPr>
        <w:pStyle w:val="Sourcenotes"/>
      </w:pPr>
      <w:r>
        <w:t xml:space="preserve">Source: </w:t>
      </w:r>
      <w:sdt>
        <w:sdtPr>
          <w:id w:val="780077911"/>
          <w:citation/>
        </w:sdtPr>
        <w:sdtEndPr/>
        <w:sdtContent>
          <w:r>
            <w:fldChar w:fldCharType="begin"/>
          </w:r>
          <w:r>
            <w:instrText xml:space="preserve">CITATION Edund1 \l 2057 </w:instrText>
          </w:r>
          <w:r>
            <w:fldChar w:fldCharType="separate"/>
          </w:r>
          <w:r w:rsidRPr="00063764">
            <w:rPr>
              <w:noProof/>
            </w:rPr>
            <w:t>(</w:t>
          </w:r>
          <w:bookmarkStart w:id="91" w:name="Edund1_55"/>
          <w:r w:rsidRPr="00063764">
            <w:rPr>
              <w:noProof/>
            </w:rPr>
            <w:t>Education Counts, n.d.</w:t>
          </w:r>
          <w:r w:rsidRPr="00063764">
            <w:rPr>
              <w:noProof/>
              <w:vertAlign w:val="subscript"/>
            </w:rPr>
            <w:t>[55]</w:t>
          </w:r>
          <w:r w:rsidRPr="00063764">
            <w:rPr>
              <w:noProof/>
            </w:rPr>
            <w:t>)</w:t>
          </w:r>
          <w:bookmarkEnd w:id="91"/>
          <w:r>
            <w:fldChar w:fldCharType="end"/>
          </w:r>
        </w:sdtContent>
      </w:sdt>
      <w:r>
        <w:t xml:space="preserve">, </w:t>
      </w:r>
      <w:r w:rsidRPr="00063764">
        <w:rPr>
          <w:i/>
        </w:rPr>
        <w:t>Quick Stats about Māori Education</w:t>
      </w:r>
      <w:r w:rsidRPr="00E04B09">
        <w:t>, Table A5</w:t>
      </w:r>
    </w:p>
    <w:bookmarkEnd w:id="90"/>
    <w:p w14:paraId="1A75BB4C" w14:textId="77777777" w:rsidR="006145A3" w:rsidRPr="00AF3F90" w:rsidRDefault="006145A3" w:rsidP="006145A3">
      <w:pPr>
        <w:pStyle w:val="Para0"/>
      </w:pPr>
      <w:r w:rsidRPr="00AF3F90">
        <w:t>A</w:t>
      </w:r>
      <w:r>
        <w:t>s a contrast, a</w:t>
      </w:r>
      <w:r w:rsidRPr="00AF3F90">
        <w:t xml:space="preserve"> study from the Northern Territory, Australia, </w:t>
      </w:r>
      <w:sdt>
        <w:sdtPr>
          <w:id w:val="-192997382"/>
          <w:citation/>
        </w:sdtPr>
        <w:sdtEndPr/>
        <w:sdtContent>
          <w:r>
            <w:fldChar w:fldCharType="begin"/>
          </w:r>
          <w:r>
            <w:instrText xml:space="preserve"> CITATION Dic10 \l 2057 </w:instrText>
          </w:r>
          <w:r>
            <w:fldChar w:fldCharType="separate"/>
          </w:r>
          <w:r w:rsidRPr="00063764">
            <w:rPr>
              <w:noProof/>
            </w:rPr>
            <w:t>(</w:t>
          </w:r>
          <w:bookmarkStart w:id="92" w:name="Dic10_56"/>
          <w:r w:rsidRPr="00063764">
            <w:rPr>
              <w:noProof/>
            </w:rPr>
            <w:t>Dickson, 2010</w:t>
          </w:r>
          <w:r w:rsidRPr="00063764">
            <w:rPr>
              <w:noProof/>
              <w:vertAlign w:val="subscript"/>
            </w:rPr>
            <w:t>[56]</w:t>
          </w:r>
          <w:r w:rsidRPr="00063764">
            <w:rPr>
              <w:noProof/>
            </w:rPr>
            <w:t>)</w:t>
          </w:r>
          <w:bookmarkEnd w:id="92"/>
          <w:r>
            <w:fldChar w:fldCharType="end"/>
          </w:r>
        </w:sdtContent>
      </w:sdt>
      <w:r w:rsidRPr="00AF3F90">
        <w:t>, looks at Indigenous student attendance before and after a policy change imposed English medium instruction i</w:t>
      </w:r>
      <w:r>
        <w:t>n all schools. The ill-advised “</w:t>
      </w:r>
      <w:r w:rsidRPr="00AF3F90">
        <w:t>First Four Hours English</w:t>
      </w:r>
      <w:r>
        <w:t>”</w:t>
      </w:r>
      <w:r w:rsidRPr="00AF3F90">
        <w:t xml:space="preserve"> policy commenced in 2009 (now revoked). The research examines attendance rates in four remote schools in Warlpiri speaking communities. Three schools had run bilingual programmes until the end of 2008. The research shows that most attendance reports fell in the former bilingual schools in the period from 2008-2010, following the change in medium of instruction to English. </w:t>
      </w:r>
    </w:p>
    <w:p w14:paraId="319F1A2B" w14:textId="77777777" w:rsidR="006145A3" w:rsidRDefault="006145A3" w:rsidP="006145A3">
      <w:pPr>
        <w:pStyle w:val="Para0"/>
      </w:pPr>
      <w:r w:rsidRPr="0066041B">
        <w:t xml:space="preserve">In Nova Scotia, Canada, a notable </w:t>
      </w:r>
      <w:r>
        <w:t xml:space="preserve">increase in the </w:t>
      </w:r>
      <w:r w:rsidRPr="0066041B">
        <w:t xml:space="preserve">rate of Indigenous student retention in high school has been associated with the language revitalisation programmes run by Mi'kmaq Kina'matnewey (MK), the Mi'kmaq education authority. Mi'kmaq Kina'matnewey has been recently credited by the Crown-Indigenous Relations Minister with a pivotal role in achieving the highest on-reserve graduation rate in Canada </w:t>
      </w:r>
      <w:r>
        <w:t xml:space="preserve">at </w:t>
      </w:r>
      <w:r w:rsidRPr="0066041B">
        <w:t>90% (</w:t>
      </w:r>
      <w:r>
        <w:t xml:space="preserve">the </w:t>
      </w:r>
      <w:r w:rsidRPr="0066041B">
        <w:t>national average is around 36%). The authority supports local band schools in delivering language immersion</w:t>
      </w:r>
      <w:r>
        <w:t xml:space="preserve"> (c</w:t>
      </w:r>
      <w:r w:rsidRPr="00F777FC">
        <w:t xml:space="preserve">ontent and </w:t>
      </w:r>
      <w:r>
        <w:t>l</w:t>
      </w:r>
      <w:r w:rsidRPr="00F777FC">
        <w:t xml:space="preserve">anguage </w:t>
      </w:r>
      <w:r>
        <w:t>i</w:t>
      </w:r>
      <w:r w:rsidRPr="00F777FC">
        <w:t xml:space="preserve">ntegrated </w:t>
      </w:r>
      <w:r>
        <w:t>l</w:t>
      </w:r>
      <w:r w:rsidRPr="00F777FC">
        <w:t>earning</w:t>
      </w:r>
      <w:r>
        <w:t>)</w:t>
      </w:r>
      <w:r w:rsidRPr="0066041B">
        <w:t xml:space="preserve">, second/additional language programmes and culture programmes. </w:t>
      </w:r>
    </w:p>
    <w:p w14:paraId="3FBBA901" w14:textId="77777777" w:rsidR="006145A3" w:rsidRPr="0066041B" w:rsidRDefault="006145A3" w:rsidP="006145A3">
      <w:pPr>
        <w:pStyle w:val="Para0"/>
      </w:pPr>
      <w:r w:rsidRPr="0066041B">
        <w:t>Chief Leroy Denny, leader of the Eskasoni First Nation in Cape Breton and chairman of the MK himself became a teacher when MK was established two decades ago because he was inspired by the hope it gave for future Mi'kmaq achievement. He attributes students' higher retention rates to schools positively valuing Mi'kmaq language and culture.</w:t>
      </w:r>
    </w:p>
    <w:p w14:paraId="1D4F6CD9" w14:textId="77777777" w:rsidR="006145A3" w:rsidRPr="00932C9D" w:rsidRDefault="006145A3" w:rsidP="006145A3">
      <w:pPr>
        <w:pStyle w:val="Quote"/>
      </w:pPr>
      <w:r w:rsidRPr="00932C9D">
        <w:t>We know that our youth will grow into strong, proud Mi'kmaq when they are given the opportunity to learn in an environment that values the strengths of Mi'kmaq language and culture.</w:t>
      </w:r>
    </w:p>
    <w:p w14:paraId="0B0F8060" w14:textId="77777777" w:rsidR="006145A3" w:rsidRPr="00932C9D" w:rsidRDefault="006145A3" w:rsidP="006145A3">
      <w:pPr>
        <w:pStyle w:val="Quote"/>
      </w:pPr>
      <w:r w:rsidRPr="00932C9D">
        <w:t xml:space="preserve">Chief Leroy Denny quoted in </w:t>
      </w:r>
      <w:sdt>
        <w:sdtPr>
          <w:id w:val="-1208482729"/>
          <w:citation/>
        </w:sdtPr>
        <w:sdtEndPr/>
        <w:sdtContent>
          <w:r>
            <w:fldChar w:fldCharType="begin"/>
          </w:r>
          <w:r>
            <w:instrText xml:space="preserve"> CITATION Mac19 \l 2057 </w:instrText>
          </w:r>
          <w:r>
            <w:fldChar w:fldCharType="separate"/>
          </w:r>
          <w:r w:rsidRPr="001C483C">
            <w:rPr>
              <w:noProof/>
            </w:rPr>
            <w:t>(</w:t>
          </w:r>
          <w:bookmarkStart w:id="93" w:name="Mac19_57"/>
          <w:r w:rsidRPr="001C483C">
            <w:rPr>
              <w:noProof/>
            </w:rPr>
            <w:t>MacDonald, 2019</w:t>
          </w:r>
          <w:r w:rsidRPr="001C483C">
            <w:rPr>
              <w:noProof/>
              <w:vertAlign w:val="subscript"/>
            </w:rPr>
            <w:t>[57]</w:t>
          </w:r>
          <w:r w:rsidRPr="001C483C">
            <w:rPr>
              <w:noProof/>
            </w:rPr>
            <w:t>)</w:t>
          </w:r>
          <w:bookmarkEnd w:id="93"/>
          <w:r>
            <w:fldChar w:fldCharType="end"/>
          </w:r>
        </w:sdtContent>
      </w:sdt>
      <w:r w:rsidRPr="00932C9D">
        <w:t>.</w:t>
      </w:r>
    </w:p>
    <w:p w14:paraId="6CBC978C" w14:textId="77777777" w:rsidR="006145A3" w:rsidRDefault="006145A3" w:rsidP="006145A3">
      <w:pPr>
        <w:pStyle w:val="Para0"/>
      </w:pPr>
      <w:r w:rsidRPr="0066041B">
        <w:rPr>
          <w:color w:val="000000"/>
        </w:rPr>
        <w:t>M</w:t>
      </w:r>
      <w:r w:rsidRPr="0066041B">
        <w:t>i'kmaq students in all types of MK programmes appear to be flourishing equally well in terms of retention, demonstrating that the effect is less specific than immersion versus regular second/additional language programming.</w:t>
      </w:r>
    </w:p>
    <w:p w14:paraId="1A0ECA4D" w14:textId="77777777" w:rsidR="006145A3" w:rsidRPr="00AF3F90" w:rsidRDefault="006145A3" w:rsidP="006145A3">
      <w:pPr>
        <w:pStyle w:val="Para0"/>
      </w:pPr>
      <w:r w:rsidRPr="00AF3F90">
        <w:t xml:space="preserve">Improved attendance is also one of the many benefits found by a study of two Nunavut high schools, which are implementing bilingual approaches with Inuit language and </w:t>
      </w:r>
      <w:r w:rsidRPr="00AF3F90">
        <w:rPr>
          <w:i/>
          <w:iCs/>
        </w:rPr>
        <w:t>Inuit qaujimajatuqangit</w:t>
      </w:r>
      <w:r w:rsidRPr="00AF3F90">
        <w:t xml:space="preserve"> (IQ), which encompasses Inuit values, perspectives, skills and knowledges. A Department of Education Authority (DEA) board member explained how this had positively impacted on students:</w:t>
      </w:r>
    </w:p>
    <w:p w14:paraId="4473A9F0" w14:textId="77777777" w:rsidR="006145A3" w:rsidRPr="00932C9D" w:rsidRDefault="006145A3" w:rsidP="006145A3">
      <w:pPr>
        <w:pStyle w:val="Quote"/>
      </w:pPr>
      <w:r w:rsidRPr="00932C9D">
        <w:t>[...] I feel the students don't feel as lost and that our Inuit traditional knowledge is being preserved and that they have now revived the wanting to learn, as evidenced by today's students' attendance levels [...].</w:t>
      </w:r>
    </w:p>
    <w:p w14:paraId="244B3E58" w14:textId="77777777" w:rsidR="006145A3" w:rsidRPr="00932C9D" w:rsidRDefault="006145A3" w:rsidP="006145A3">
      <w:pPr>
        <w:pStyle w:val="Quote"/>
      </w:pPr>
      <w:r w:rsidRPr="00932C9D">
        <w:t xml:space="preserve">Luciusie quoted in </w:t>
      </w:r>
      <w:sdt>
        <w:sdtPr>
          <w:id w:val="84656623"/>
          <w:citation/>
        </w:sdtPr>
        <w:sdtEndPr/>
        <w:sdtContent>
          <w:r>
            <w:fldChar w:fldCharType="begin"/>
          </w:r>
          <w:r>
            <w:instrText xml:space="preserve"> CITATION Tul16 \l 2057 </w:instrText>
          </w:r>
          <w:r>
            <w:fldChar w:fldCharType="separate"/>
          </w:r>
          <w:r w:rsidRPr="001C483C">
            <w:rPr>
              <w:noProof/>
            </w:rPr>
            <w:t>(Tulloch, 2016</w:t>
          </w:r>
          <w:r w:rsidRPr="001C483C">
            <w:rPr>
              <w:noProof/>
              <w:vertAlign w:val="subscript"/>
            </w:rPr>
            <w:t>[54]</w:t>
          </w:r>
          <w:r w:rsidRPr="001C483C">
            <w:rPr>
              <w:noProof/>
            </w:rPr>
            <w:t>)</w:t>
          </w:r>
          <w:r>
            <w:fldChar w:fldCharType="end"/>
          </w:r>
        </w:sdtContent>
      </w:sdt>
      <w:r w:rsidRPr="00932C9D">
        <w:t>.</w:t>
      </w:r>
    </w:p>
    <w:p w14:paraId="75A38DDB" w14:textId="77777777" w:rsidR="006145A3" w:rsidRPr="00ED0394" w:rsidRDefault="006145A3" w:rsidP="006145A3">
      <w:pPr>
        <w:pStyle w:val="Heading3"/>
        <w:numPr>
          <w:ilvl w:val="2"/>
          <w:numId w:val="22"/>
        </w:numPr>
        <w:rPr>
          <w:rFonts w:ascii="Times New Roman" w:hAnsi="Times New Roman" w:cs="Times New Roman"/>
        </w:rPr>
      </w:pPr>
      <w:r>
        <w:rPr>
          <w:rFonts w:ascii="Times New Roman" w:hAnsi="Times New Roman" w:cs="Times New Roman"/>
        </w:rPr>
        <w:t>Increased motivation</w:t>
      </w:r>
    </w:p>
    <w:p w14:paraId="1E860D3C" w14:textId="77777777" w:rsidR="006145A3" w:rsidRPr="00BE681D" w:rsidRDefault="006145A3" w:rsidP="006145A3">
      <w:pPr>
        <w:pStyle w:val="Para0"/>
      </w:pPr>
      <w:r w:rsidRPr="00BE681D">
        <w:t xml:space="preserve">The national institution charged with oversight of curriculum, assessment and reporting for all Australian schools, the Australian Curriculum, Assessment and Reporting Authority, has acknowledged that the study </w:t>
      </w:r>
      <w:r w:rsidRPr="00BE681D">
        <w:lastRenderedPageBreak/>
        <w:t>of an Indigenous language motivates Indigenous students and that this can have additional positive effects in other areas of their school studies:</w:t>
      </w:r>
    </w:p>
    <w:p w14:paraId="17B6883F" w14:textId="77777777" w:rsidR="006145A3" w:rsidRPr="00932C9D" w:rsidRDefault="006145A3" w:rsidP="006145A3">
      <w:pPr>
        <w:pStyle w:val="Quote"/>
      </w:pPr>
      <w:r w:rsidRPr="00932C9D">
        <w:t>It is well demonstrated that Aboriginal and Torres Strait Islander students are strongly motivated to study their own and other Aboriginal languages and Torres Strait Islander languages, and that enthusiasm for their language studies often increases their engagement at school more generally.</w:t>
      </w:r>
    </w:p>
    <w:p w14:paraId="50959D5F" w14:textId="77777777" w:rsidR="006145A3" w:rsidRPr="00932C9D" w:rsidRDefault="008D0BBE" w:rsidP="006145A3">
      <w:pPr>
        <w:pStyle w:val="Quote"/>
      </w:pPr>
      <w:sdt>
        <w:sdtPr>
          <w:id w:val="-484694842"/>
          <w:citation/>
        </w:sdtPr>
        <w:sdtEndPr/>
        <w:sdtContent>
          <w:r w:rsidR="006145A3">
            <w:fldChar w:fldCharType="begin"/>
          </w:r>
          <w:r w:rsidR="006145A3">
            <w:instrText xml:space="preserve"> CITATION Ausnd \l 2057 </w:instrText>
          </w:r>
          <w:r w:rsidR="006145A3">
            <w:fldChar w:fldCharType="separate"/>
          </w:r>
          <w:r w:rsidR="006145A3" w:rsidRPr="001C483C">
            <w:rPr>
              <w:noProof/>
            </w:rPr>
            <w:t>(Australian Curriculum Assessment and Reporting Authority, n.d.</w:t>
          </w:r>
          <w:r w:rsidR="006145A3" w:rsidRPr="001C483C">
            <w:rPr>
              <w:noProof/>
              <w:vertAlign w:val="subscript"/>
            </w:rPr>
            <w:t>[53]</w:t>
          </w:r>
          <w:r w:rsidR="006145A3" w:rsidRPr="001C483C">
            <w:rPr>
              <w:noProof/>
            </w:rPr>
            <w:t>)</w:t>
          </w:r>
          <w:r w:rsidR="006145A3">
            <w:fldChar w:fldCharType="end"/>
          </w:r>
        </w:sdtContent>
      </w:sdt>
      <w:r w:rsidR="006145A3" w:rsidRPr="00932C9D">
        <w:t>.</w:t>
      </w:r>
    </w:p>
    <w:p w14:paraId="16C3201A" w14:textId="77777777" w:rsidR="006145A3" w:rsidRDefault="006145A3" w:rsidP="006145A3">
      <w:pPr>
        <w:pStyle w:val="Heading3"/>
        <w:numPr>
          <w:ilvl w:val="2"/>
          <w:numId w:val="22"/>
        </w:numPr>
        <w:rPr>
          <w:rFonts w:ascii="Times New Roman" w:hAnsi="Times New Roman" w:cs="Times New Roman"/>
        </w:rPr>
      </w:pPr>
      <w:r w:rsidRPr="00CE1AAE">
        <w:rPr>
          <w:rFonts w:ascii="Times New Roman" w:hAnsi="Times New Roman" w:cs="Times New Roman"/>
        </w:rPr>
        <w:t>Stronger cognitive development</w:t>
      </w:r>
    </w:p>
    <w:p w14:paraId="56B35013" w14:textId="77777777" w:rsidR="006145A3" w:rsidRPr="00377777" w:rsidRDefault="006145A3" w:rsidP="006145A3">
      <w:pPr>
        <w:pStyle w:val="Para0"/>
      </w:pPr>
      <w:r w:rsidRPr="00377777">
        <w:t>In addition to opening up new social worlds, access to cultural riches and economic opportunities, learning new languages has been found to enhance cognitive skills. Language learning is additive, it does not take away from what the child knows about other languages</w:t>
      </w:r>
      <w:r>
        <w:t>.</w:t>
      </w:r>
      <w:r w:rsidRPr="00377777">
        <w:t xml:space="preserve"> </w:t>
      </w:r>
      <w:r>
        <w:t>T</w:t>
      </w:r>
      <w:r w:rsidRPr="00377777">
        <w:t>he cognitive benefits of children learning a second language are similar to those of learning two languages from birth. Learning an additional language at school has been found to improve students' learning across a range of areas such as literacy, math</w:t>
      </w:r>
      <w:r>
        <w:t>ematics</w:t>
      </w:r>
      <w:r w:rsidRPr="00377777">
        <w:t xml:space="preserve">, science and creativity </w:t>
      </w:r>
      <w:sdt>
        <w:sdtPr>
          <w:id w:val="-1921864676"/>
          <w:citation/>
        </w:sdtPr>
        <w:sdtEndPr/>
        <w:sdtContent>
          <w:r>
            <w:fldChar w:fldCharType="begin"/>
          </w:r>
          <w:r>
            <w:instrText xml:space="preserve"> CITATION Wol19 \l 2057 </w:instrText>
          </w:r>
          <w:r>
            <w:fldChar w:fldCharType="separate"/>
          </w:r>
          <w:r w:rsidRPr="001C483C">
            <w:rPr>
              <w:noProof/>
            </w:rPr>
            <w:t>(</w:t>
          </w:r>
          <w:bookmarkStart w:id="94" w:name="Wol19_58"/>
          <w:r w:rsidRPr="001C483C">
            <w:rPr>
              <w:noProof/>
            </w:rPr>
            <w:t>Woll and Wei, 2019</w:t>
          </w:r>
          <w:r w:rsidRPr="001C483C">
            <w:rPr>
              <w:noProof/>
              <w:vertAlign w:val="subscript"/>
            </w:rPr>
            <w:t>[58]</w:t>
          </w:r>
          <w:r w:rsidRPr="001C483C">
            <w:rPr>
              <w:noProof/>
            </w:rPr>
            <w:t>)</w:t>
          </w:r>
          <w:bookmarkEnd w:id="94"/>
          <w:r>
            <w:fldChar w:fldCharType="end"/>
          </w:r>
        </w:sdtContent>
      </w:sdt>
      <w:r w:rsidRPr="00377777">
        <w:t>. Learning multiple languages challenges young minds, strengthening capacities such as attention, working memory and task-switching.</w:t>
      </w:r>
    </w:p>
    <w:p w14:paraId="3813BF72" w14:textId="5C6FB071" w:rsidR="006145A3" w:rsidRPr="008A4AA8" w:rsidRDefault="006145A3" w:rsidP="006145A3">
      <w:pPr>
        <w:pStyle w:val="Para0"/>
      </w:pPr>
      <w:r w:rsidRPr="008A4AA8">
        <w:t xml:space="preserve">Improved literacy in the dominant national language of classroom instruction is another facet of general academic achievement that may be an outcome of second/additional Indigenous language programmes. Learning an Indigenous language and its writing system in a revival setting in New South Wales, Australia, is the context of a small study on young students' English literacy skills </w:t>
      </w:r>
      <w:sdt>
        <w:sdtPr>
          <w:id w:val="-40449641"/>
          <w:citation/>
        </w:sdtPr>
        <w:sdtEndPr/>
        <w:sdtContent>
          <w:r>
            <w:fldChar w:fldCharType="begin"/>
          </w:r>
          <w:r>
            <w:instrText xml:space="preserve"> CITATION Jon10 \l 2057 </w:instrText>
          </w:r>
          <w:r>
            <w:fldChar w:fldCharType="separate"/>
          </w:r>
          <w:r w:rsidRPr="00E3138F">
            <w:rPr>
              <w:noProof/>
            </w:rPr>
            <w:t>(</w:t>
          </w:r>
          <w:bookmarkStart w:id="95" w:name="Jon10_59"/>
          <w:r w:rsidRPr="00E3138F">
            <w:rPr>
              <w:noProof/>
            </w:rPr>
            <w:t>Jones, Chandler and Lowe, 2010</w:t>
          </w:r>
          <w:r w:rsidRPr="00E3138F">
            <w:rPr>
              <w:noProof/>
              <w:vertAlign w:val="subscript"/>
            </w:rPr>
            <w:t>[59]</w:t>
          </w:r>
          <w:r w:rsidRPr="00E3138F">
            <w:rPr>
              <w:noProof/>
            </w:rPr>
            <w:t>)</w:t>
          </w:r>
          <w:bookmarkEnd w:id="95"/>
          <w:r>
            <w:fldChar w:fldCharType="end"/>
          </w:r>
        </w:sdtContent>
      </w:sdt>
      <w:r w:rsidRPr="008A4AA8">
        <w:t>. The English decoding skills of young students from two different Aboriginal language programmes were compared to students from another school where they were not learning any second language. Findings suggest that the second language and literacy learning involved in the Aboriginal language programme was beneficial to children's acquisition of English decoding (assessed through a reading test</w:t>
      </w:r>
      <w:r w:rsidRPr="00FF1152">
        <w:t xml:space="preserve"> </w:t>
      </w:r>
      <w:r w:rsidR="00802DDB">
        <w:t xml:space="preserve">that </w:t>
      </w:r>
      <w:r w:rsidRPr="00FF1152">
        <w:t>use</w:t>
      </w:r>
      <w:r>
        <w:t>s nonsense words – also called “non-words</w:t>
      </w:r>
      <w:r w:rsidR="00802DDB">
        <w:t>”</w:t>
      </w:r>
      <w:r w:rsidRPr="00FF1152">
        <w:t xml:space="preserve"> – or letter sequences that follow regular phonetic rules and are pronounceable, but have no meaning, such as </w:t>
      </w:r>
      <w:r w:rsidR="00802DDB">
        <w:t>“</w:t>
      </w:r>
      <w:r w:rsidRPr="00FF1152">
        <w:t>bif</w:t>
      </w:r>
      <w:r w:rsidR="00802DDB">
        <w:t>”</w:t>
      </w:r>
      <w:r w:rsidRPr="00FF1152">
        <w:t xml:space="preserve"> or </w:t>
      </w:r>
      <w:r w:rsidR="00802DDB">
        <w:t>“</w:t>
      </w:r>
      <w:r w:rsidRPr="00FF1152">
        <w:t>yom</w:t>
      </w:r>
      <w:r w:rsidR="00802DDB">
        <w:t>”</w:t>
      </w:r>
      <w:r>
        <w:t>)</w:t>
      </w:r>
      <w:r w:rsidRPr="008A4AA8">
        <w:t>. They posit that the effect could be due to an increase in phonemic awareness because of the more regular Indigenous language spelling systems. Similar effects for learners of other spelling systems more regular than English have been noted by other researchers.</w:t>
      </w:r>
    </w:p>
    <w:p w14:paraId="68A44A62" w14:textId="77777777" w:rsidR="006145A3" w:rsidRPr="00EE5858" w:rsidRDefault="006145A3" w:rsidP="006145A3">
      <w:pPr>
        <w:pStyle w:val="Heading3"/>
        <w:numPr>
          <w:ilvl w:val="2"/>
          <w:numId w:val="22"/>
        </w:numPr>
        <w:rPr>
          <w:rFonts w:ascii="Times New Roman" w:hAnsi="Times New Roman" w:cs="Times New Roman"/>
        </w:rPr>
      </w:pPr>
      <w:r>
        <w:rPr>
          <w:rFonts w:ascii="Times New Roman" w:hAnsi="Times New Roman" w:cs="Times New Roman"/>
        </w:rPr>
        <w:t>Higher levels of student</w:t>
      </w:r>
      <w:r w:rsidRPr="00EE5858">
        <w:rPr>
          <w:rFonts w:ascii="Times New Roman" w:hAnsi="Times New Roman" w:cs="Times New Roman"/>
        </w:rPr>
        <w:t xml:space="preserve"> achievement</w:t>
      </w:r>
    </w:p>
    <w:p w14:paraId="01C686DE" w14:textId="77777777" w:rsidR="006145A3" w:rsidRDefault="006145A3" w:rsidP="006145A3">
      <w:pPr>
        <w:pStyle w:val="Para0"/>
      </w:pPr>
      <w:r w:rsidRPr="008A4AA8">
        <w:t>The rate of attainment by students in Māori</w:t>
      </w:r>
      <w:r>
        <w:t>-</w:t>
      </w:r>
      <w:r w:rsidRPr="008A4AA8">
        <w:t xml:space="preserve">medium education </w:t>
      </w:r>
      <w:r>
        <w:t xml:space="preserve">in the </w:t>
      </w:r>
      <w:r w:rsidRPr="00B87DD2">
        <w:t xml:space="preserve">National Certificate of Educational Achievement </w:t>
      </w:r>
      <w:r>
        <w:t xml:space="preserve">(NCEA) </w:t>
      </w:r>
      <w:r w:rsidRPr="008A4AA8">
        <w:t>has increased over the past decade and has exceeded that of total school leavers (graduates) since 2012. The attainment rate by Māori students in English</w:t>
      </w:r>
      <w:r>
        <w:t xml:space="preserve"> </w:t>
      </w:r>
      <w:r w:rsidRPr="008A4AA8">
        <w:t xml:space="preserve">medium schooling has also increased over the same period, although not by as much and starting </w:t>
      </w:r>
      <w:r>
        <w:t xml:space="preserve">from a lower base </w:t>
      </w:r>
      <w:sdt>
        <w:sdtPr>
          <w:id w:val="-940531555"/>
          <w:citation/>
        </w:sdtPr>
        <w:sdtEndPr/>
        <w:sdtContent>
          <w:r>
            <w:fldChar w:fldCharType="begin"/>
          </w:r>
          <w:r>
            <w:instrText xml:space="preserve"> CITATION New191 \l 2057  \m May19</w:instrText>
          </w:r>
          <w:r>
            <w:fldChar w:fldCharType="separate"/>
          </w:r>
          <w:bookmarkStart w:id="96" w:name="May19_61"/>
          <w:r w:rsidRPr="00D71FF1">
            <w:rPr>
              <w:noProof/>
            </w:rPr>
            <w:t>(New Zealand Qualifications Authority, 2019</w:t>
          </w:r>
          <w:r w:rsidRPr="00D71FF1">
            <w:rPr>
              <w:noProof/>
              <w:vertAlign w:val="subscript"/>
            </w:rPr>
            <w:t>[60]</w:t>
          </w:r>
          <w:r w:rsidRPr="00D71FF1">
            <w:rPr>
              <w:noProof/>
            </w:rPr>
            <w:t>; May, Jang-Jones and McGregor, 2019</w:t>
          </w:r>
          <w:r w:rsidRPr="00D71FF1">
            <w:rPr>
              <w:noProof/>
              <w:vertAlign w:val="subscript"/>
            </w:rPr>
            <w:t>[61]</w:t>
          </w:r>
          <w:r w:rsidRPr="00D71FF1">
            <w:rPr>
              <w:noProof/>
            </w:rPr>
            <w:t>)</w:t>
          </w:r>
          <w:bookmarkEnd w:id="96"/>
          <w:r>
            <w:fldChar w:fldCharType="end"/>
          </w:r>
        </w:sdtContent>
      </w:sdt>
      <w:r w:rsidRPr="008A4AA8">
        <w:t xml:space="preserve">. </w:t>
      </w:r>
    </w:p>
    <w:p w14:paraId="3830B064" w14:textId="5EFB812D" w:rsidR="006145A3" w:rsidRDefault="006145A3" w:rsidP="006145A3">
      <w:pPr>
        <w:pStyle w:val="Caption"/>
      </w:pPr>
      <w:bookmarkStart w:id="97" w:name="_Toc95824129"/>
      <w:bookmarkStart w:id="98" w:name="_Toc40288447"/>
      <w:bookmarkStart w:id="99" w:name="_Toc79418388"/>
      <w:r>
        <w:lastRenderedPageBreak/>
        <w:t>Figure </w:t>
      </w:r>
      <w:r>
        <w:rPr>
          <w:noProof/>
        </w:rPr>
        <w:fldChar w:fldCharType="begin"/>
      </w:r>
      <w:r>
        <w:rPr>
          <w:noProof/>
        </w:rPr>
        <w:instrText xml:space="preserve"> STYLEREF 1 \s </w:instrText>
      </w:r>
      <w:r>
        <w:rPr>
          <w:noProof/>
        </w:rPr>
        <w:fldChar w:fldCharType="separate"/>
      </w:r>
      <w:r w:rsidR="00CA5B8D">
        <w:rPr>
          <w:noProof/>
        </w:rPr>
        <w:t>3</w:t>
      </w:r>
      <w:r>
        <w:rPr>
          <w:noProof/>
        </w:rPr>
        <w:fldChar w:fldCharType="end"/>
      </w:r>
      <w:r>
        <w:t>.</w:t>
      </w:r>
      <w:r>
        <w:rPr>
          <w:noProof/>
        </w:rPr>
        <w:fldChar w:fldCharType="begin"/>
      </w:r>
      <w:r>
        <w:rPr>
          <w:noProof/>
        </w:rPr>
        <w:instrText xml:space="preserve"> SEQ Figure \* ARABIC \s 1 </w:instrText>
      </w:r>
      <w:r>
        <w:rPr>
          <w:noProof/>
        </w:rPr>
        <w:fldChar w:fldCharType="separate"/>
      </w:r>
      <w:r w:rsidR="00CA5B8D">
        <w:rPr>
          <w:noProof/>
        </w:rPr>
        <w:t>1</w:t>
      </w:r>
      <w:r>
        <w:rPr>
          <w:noProof/>
        </w:rPr>
        <w:fldChar w:fldCharType="end"/>
      </w:r>
      <w:r>
        <w:t xml:space="preserve">. </w:t>
      </w:r>
      <w:r w:rsidRPr="00903CCE">
        <w:t>School leavers with National Certificate o</w:t>
      </w:r>
      <w:r>
        <w:t>f Educational Achievement Level </w:t>
      </w:r>
      <w:r w:rsidRPr="00903CCE">
        <w:t>3</w:t>
      </w:r>
      <w:bookmarkEnd w:id="97"/>
    </w:p>
    <w:p w14:paraId="3EEBB995" w14:textId="77777777" w:rsidR="006145A3" w:rsidRDefault="006145A3" w:rsidP="006145A3">
      <w:pPr>
        <w:pStyle w:val="Figure"/>
        <w:rPr>
          <w:noProof/>
          <w:lang w:eastAsia="en-GB"/>
        </w:rPr>
      </w:pPr>
      <w:r w:rsidRPr="00903CCE">
        <w:rPr>
          <w:noProof/>
          <w:lang w:eastAsia="en-GB"/>
        </w:rPr>
        <w:drawing>
          <wp:inline distT="0" distB="0" distL="0" distR="0" wp14:anchorId="6E59D178" wp14:editId="06C5EB7F">
            <wp:extent cx="4714875" cy="302958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14875" cy="3029585"/>
                    </a:xfrm>
                    <a:prstGeom prst="rect">
                      <a:avLst/>
                    </a:prstGeom>
                    <a:noFill/>
                    <a:ln>
                      <a:noFill/>
                    </a:ln>
                  </pic:spPr>
                </pic:pic>
              </a:graphicData>
            </a:graphic>
          </wp:inline>
        </w:drawing>
      </w:r>
    </w:p>
    <w:p w14:paraId="743B5E05" w14:textId="77777777" w:rsidR="006145A3" w:rsidRPr="00454399" w:rsidRDefault="006145A3" w:rsidP="006145A3">
      <w:pPr>
        <w:pStyle w:val="Sourcenotes"/>
      </w:pPr>
      <w:r w:rsidRPr="004802B4">
        <w:t xml:space="preserve">Source: </w:t>
      </w:r>
      <w:sdt>
        <w:sdtPr>
          <w:id w:val="1805659133"/>
          <w:citation/>
        </w:sdtPr>
        <w:sdtEndPr/>
        <w:sdtContent>
          <w:r>
            <w:fldChar w:fldCharType="begin"/>
          </w:r>
          <w:r>
            <w:instrText xml:space="preserve"> CITATION Edund1 \l 2057 </w:instrText>
          </w:r>
          <w:r>
            <w:fldChar w:fldCharType="separate"/>
          </w:r>
          <w:r w:rsidRPr="00241702">
            <w:rPr>
              <w:noProof/>
            </w:rPr>
            <w:t>(Education Counts, n.d.</w:t>
          </w:r>
          <w:r w:rsidRPr="00241702">
            <w:rPr>
              <w:noProof/>
              <w:vertAlign w:val="subscript"/>
            </w:rPr>
            <w:t>[55]</w:t>
          </w:r>
          <w:r w:rsidRPr="00241702">
            <w:rPr>
              <w:noProof/>
            </w:rPr>
            <w:t>)</w:t>
          </w:r>
          <w:r>
            <w:fldChar w:fldCharType="end"/>
          </w:r>
        </w:sdtContent>
      </w:sdt>
      <w:r>
        <w:t>,</w:t>
      </w:r>
      <w:r w:rsidRPr="00903CCE">
        <w:t xml:space="preserve"> Figure</w:t>
      </w:r>
      <w:r>
        <w:t> </w:t>
      </w:r>
      <w:r w:rsidRPr="00903CCE">
        <w:t>3: Percentage of school leavers with NCEA Level</w:t>
      </w:r>
      <w:r>
        <w:t> </w:t>
      </w:r>
      <w:r w:rsidRPr="00903CCE">
        <w:t>3 or above, by ethnic group (2009 to 2018).</w:t>
      </w:r>
    </w:p>
    <w:bookmarkEnd w:id="98"/>
    <w:bookmarkEnd w:id="99"/>
    <w:p w14:paraId="2492DE4E" w14:textId="77777777" w:rsidR="006145A3" w:rsidRPr="003E04DC" w:rsidRDefault="006145A3" w:rsidP="006145A3">
      <w:pPr>
        <w:pStyle w:val="Para0"/>
        <w:rPr>
          <w:lang w:val="en-US"/>
        </w:rPr>
      </w:pPr>
    </w:p>
    <w:p w14:paraId="31670CCF" w14:textId="77777777" w:rsidR="006145A3" w:rsidRDefault="006145A3" w:rsidP="006145A3">
      <w:pPr>
        <w:pStyle w:val="Heading1"/>
        <w:framePr w:w="11615" w:wrap="notBeside" w:x="1276"/>
        <w:numPr>
          <w:ilvl w:val="0"/>
          <w:numId w:val="22"/>
        </w:numPr>
        <w:ind w:left="1077" w:hanging="964"/>
      </w:pPr>
      <w:bookmarkStart w:id="100" w:name="_Toc95824101"/>
      <w:r w:rsidRPr="00932C9D">
        <w:lastRenderedPageBreak/>
        <w:t>Laws and policies</w:t>
      </w:r>
      <w:bookmarkEnd w:id="100"/>
    </w:p>
    <w:p w14:paraId="59633D0F" w14:textId="77777777" w:rsidR="006145A3" w:rsidRPr="00DA0522" w:rsidRDefault="006145A3" w:rsidP="006145A3">
      <w:pPr>
        <w:pStyle w:val="Para0"/>
      </w:pPr>
      <w:r w:rsidRPr="00803C6D">
        <w:t xml:space="preserve">This </w:t>
      </w:r>
      <w:r>
        <w:t>section</w:t>
      </w:r>
      <w:r w:rsidRPr="00803C6D">
        <w:t xml:space="preserve"> </w:t>
      </w:r>
      <w:r>
        <w:t xml:space="preserve">provides an overview of legislation, </w:t>
      </w:r>
      <w:r w:rsidRPr="00803C6D">
        <w:t>policies and institutions that relate to Indigenous languages. The section</w:t>
      </w:r>
      <w:r>
        <w:t xml:space="preserve"> </w:t>
      </w:r>
      <w:r w:rsidRPr="00803C6D">
        <w:t xml:space="preserve">begins in the </w:t>
      </w:r>
      <w:r w:rsidRPr="00DA0522">
        <w:t xml:space="preserve">international sphere with </w:t>
      </w:r>
      <w:r>
        <w:t xml:space="preserve">measures that seek to protect </w:t>
      </w:r>
      <w:r w:rsidRPr="00DA0522">
        <w:t>the rights of Indigenous peoples to use and/or revive their languages</w:t>
      </w:r>
      <w:r>
        <w:t xml:space="preserve">. We then </w:t>
      </w:r>
      <w:r w:rsidRPr="00DA0522">
        <w:t>exa</w:t>
      </w:r>
      <w:r>
        <w:t>mi</w:t>
      </w:r>
      <w:r w:rsidRPr="00DA0522">
        <w:t xml:space="preserve">ne </w:t>
      </w:r>
      <w:r>
        <w:t xml:space="preserve">relevant </w:t>
      </w:r>
      <w:r w:rsidRPr="00DA0522">
        <w:t xml:space="preserve">legal, policy and curriculum frameworks for each </w:t>
      </w:r>
      <w:r>
        <w:t xml:space="preserve">of the three </w:t>
      </w:r>
      <w:r w:rsidRPr="00DA0522">
        <w:t>countr</w:t>
      </w:r>
      <w:r>
        <w:t>ies covered in this paper,</w:t>
      </w:r>
      <w:r w:rsidRPr="00DA0522">
        <w:t xml:space="preserve"> beginning with the national context, then proceeding to the provinc</w:t>
      </w:r>
      <w:r>
        <w:t>ial</w:t>
      </w:r>
      <w:r w:rsidRPr="00DA0522">
        <w:t>, state and territor</w:t>
      </w:r>
      <w:r>
        <w:t>ial</w:t>
      </w:r>
      <w:r w:rsidRPr="00DA0522">
        <w:t xml:space="preserve"> level</w:t>
      </w:r>
      <w:r>
        <w:t>s.</w:t>
      </w:r>
    </w:p>
    <w:p w14:paraId="4F2A5CD0" w14:textId="77777777" w:rsidR="006145A3" w:rsidRPr="00803C6D" w:rsidRDefault="006145A3" w:rsidP="006145A3">
      <w:pPr>
        <w:pStyle w:val="Heading2"/>
        <w:numPr>
          <w:ilvl w:val="1"/>
          <w:numId w:val="22"/>
        </w:numPr>
      </w:pPr>
      <w:bookmarkStart w:id="101" w:name="_Toc82093563"/>
      <w:bookmarkStart w:id="102" w:name="_Toc95824102"/>
      <w:r w:rsidRPr="00803C6D">
        <w:t>International context: Indigenous languages in education</w:t>
      </w:r>
      <w:bookmarkEnd w:id="101"/>
      <w:bookmarkEnd w:id="102"/>
    </w:p>
    <w:p w14:paraId="273774C6" w14:textId="77777777" w:rsidR="006145A3" w:rsidRPr="00862D5A" w:rsidRDefault="006145A3" w:rsidP="006145A3">
      <w:pPr>
        <w:pStyle w:val="Para0"/>
      </w:pPr>
      <w:r w:rsidRPr="00862D5A">
        <w:t xml:space="preserve">Indigenous peoples' </w:t>
      </w:r>
      <w:r w:rsidRPr="00DA0522">
        <w:t>rights to use and transmit their languages are established in a number of international covenants, declarations and conventions.</w:t>
      </w:r>
    </w:p>
    <w:p w14:paraId="1587A846" w14:textId="7484769D" w:rsidR="006145A3" w:rsidRPr="00862D5A" w:rsidRDefault="006145A3" w:rsidP="006145A3">
      <w:pPr>
        <w:pStyle w:val="Para0"/>
      </w:pPr>
      <w:r w:rsidRPr="00865FE5">
        <w:t>The UN International Covenant on Civil and Political Rights (</w:t>
      </w:r>
      <w:r w:rsidRPr="005C35BB">
        <w:t>UN General Assembly, 1966</w:t>
      </w:r>
      <w:r w:rsidRPr="00865FE5">
        <w:t xml:space="preserve">) </w:t>
      </w:r>
      <w:r w:rsidRPr="00862D5A">
        <w:t>includes rights related to language (Articles</w:t>
      </w:r>
      <w:r>
        <w:t> </w:t>
      </w:r>
      <w:r w:rsidRPr="00862D5A">
        <w:t>2.2, 24, 26) and</w:t>
      </w:r>
      <w:r>
        <w:t>,</w:t>
      </w:r>
      <w:r w:rsidRPr="00862D5A">
        <w:t xml:space="preserve"> most significantly</w:t>
      </w:r>
      <w:r>
        <w:t>, Article </w:t>
      </w:r>
      <w:r w:rsidRPr="00862D5A">
        <w:t>27</w:t>
      </w:r>
      <w:r w:rsidR="00802DDB">
        <w:t xml:space="preserve"> </w:t>
      </w:r>
      <w:r w:rsidRPr="00862D5A">
        <w:t>includes the right for groups to use their own language. Th</w:t>
      </w:r>
      <w:r>
        <w:t xml:space="preserve">e </w:t>
      </w:r>
      <w:r w:rsidRPr="00862D5A">
        <w:t xml:space="preserve">Covenant was ratified </w:t>
      </w:r>
      <w:r>
        <w:t xml:space="preserve">in </w:t>
      </w:r>
      <w:r w:rsidRPr="00862D5A">
        <w:t xml:space="preserve">1976 by Canada, </w:t>
      </w:r>
      <w:r w:rsidR="00802DDB">
        <w:t xml:space="preserve">in </w:t>
      </w:r>
      <w:r w:rsidRPr="00862D5A">
        <w:t xml:space="preserve">1978 by Aotearoa </w:t>
      </w:r>
      <w:r>
        <w:t>New Zealand</w:t>
      </w:r>
      <w:r w:rsidRPr="00862D5A">
        <w:t xml:space="preserve"> and </w:t>
      </w:r>
      <w:r w:rsidR="00802DDB">
        <w:t xml:space="preserve">in </w:t>
      </w:r>
      <w:r w:rsidRPr="00862D5A">
        <w:t>1980 by Australia</w:t>
      </w:r>
      <w:r>
        <w:t>. The language-use</w:t>
      </w:r>
      <w:r w:rsidRPr="00862D5A">
        <w:t xml:space="preserve"> right is also asserted in the UN </w:t>
      </w:r>
      <w:r w:rsidRPr="00862D5A">
        <w:rPr>
          <w:i/>
        </w:rPr>
        <w:t>Convention on the Rights of the Child</w:t>
      </w:r>
      <w:r w:rsidRPr="00862D5A">
        <w:t xml:space="preserve"> (</w:t>
      </w:r>
      <w:r w:rsidRPr="005C35BB">
        <w:t>UN General Assembly, 1989</w:t>
      </w:r>
      <w:r w:rsidRPr="00862D5A">
        <w:t xml:space="preserve">). The right of Indigenous peoples to revitalise, use and transmit their languages is asserted in the UN </w:t>
      </w:r>
      <w:r w:rsidRPr="00862D5A">
        <w:rPr>
          <w:i/>
        </w:rPr>
        <w:t>Declaration on the Rights of Indigenous Peoples</w:t>
      </w:r>
      <w:r w:rsidRPr="00862D5A">
        <w:t xml:space="preserve"> </w:t>
      </w:r>
      <w:sdt>
        <w:sdtPr>
          <w:id w:val="953983141"/>
          <w:citation/>
        </w:sdtPr>
        <w:sdtEndPr/>
        <w:sdtContent>
          <w:r>
            <w:fldChar w:fldCharType="begin"/>
          </w:r>
          <w:r>
            <w:instrText xml:space="preserve"> CITATION UNG07 \l 2057 </w:instrText>
          </w:r>
          <w:r>
            <w:fldChar w:fldCharType="separate"/>
          </w:r>
          <w:r w:rsidRPr="007813EB">
            <w:rPr>
              <w:noProof/>
            </w:rPr>
            <w:t>(</w:t>
          </w:r>
          <w:bookmarkStart w:id="103" w:name="UNG07_62"/>
          <w:r w:rsidRPr="007813EB">
            <w:rPr>
              <w:noProof/>
            </w:rPr>
            <w:t>UN General Assembly, 2007</w:t>
          </w:r>
          <w:r w:rsidRPr="007813EB">
            <w:rPr>
              <w:noProof/>
              <w:vertAlign w:val="subscript"/>
            </w:rPr>
            <w:t>[62]</w:t>
          </w:r>
          <w:r w:rsidRPr="007813EB">
            <w:rPr>
              <w:noProof/>
            </w:rPr>
            <w:t>)</w:t>
          </w:r>
          <w:bookmarkEnd w:id="103"/>
          <w:r>
            <w:fldChar w:fldCharType="end"/>
          </w:r>
        </w:sdtContent>
      </w:sdt>
      <w:r w:rsidRPr="00862D5A">
        <w:t xml:space="preserve"> (endorsed by Australia 2009, Aotearoa </w:t>
      </w:r>
      <w:r>
        <w:t>New Zealand</w:t>
      </w:r>
      <w:r w:rsidRPr="00862D5A">
        <w:t xml:space="preserve"> 2010</w:t>
      </w:r>
      <w:r>
        <w:t xml:space="preserve"> and</w:t>
      </w:r>
      <w:r w:rsidRPr="00862D5A">
        <w:t xml:space="preserve"> Canada 2016). These language rights apply across language contexts regardless of whether Indigenous languages are spoken as first languages or whether Indigenous languages are being relearned or are in need of reawakening.</w:t>
      </w:r>
    </w:p>
    <w:p w14:paraId="104F3ED4" w14:textId="77777777" w:rsidR="006145A3" w:rsidRPr="00862D5A" w:rsidRDefault="006145A3" w:rsidP="006145A3">
      <w:pPr>
        <w:pStyle w:val="Para0"/>
      </w:pPr>
      <w:r w:rsidRPr="00862D5A">
        <w:t>More explicit reference to education is made in the Convention</w:t>
      </w:r>
      <w:r>
        <w:t xml:space="preserve"> against Discrimination in Education </w:t>
      </w:r>
      <w:r w:rsidRPr="00865FE5">
        <w:t>(</w:t>
      </w:r>
      <w:r w:rsidRPr="005C35BB">
        <w:t>UNESCO, 1960</w:t>
      </w:r>
      <w:r w:rsidRPr="00865FE5">
        <w:t>)</w:t>
      </w:r>
      <w:r w:rsidRPr="00862D5A">
        <w:t xml:space="preserve">, which reinforces human rights to non-discriminatory education. It establishes that all people have the right to access an equal standard and quality of education, and that </w:t>
      </w:r>
      <w:r>
        <w:t>“</w:t>
      </w:r>
      <w:r w:rsidRPr="00862D5A">
        <w:t>language</w:t>
      </w:r>
      <w:r>
        <w:t>”</w:t>
      </w:r>
      <w:r w:rsidRPr="00862D5A">
        <w:t xml:space="preserve"> is not a ground on which people can be excluded (Article</w:t>
      </w:r>
      <w:r>
        <w:t> </w:t>
      </w:r>
      <w:r w:rsidRPr="00862D5A">
        <w:t xml:space="preserve">1.1-2). Furthermore, it lays out the right for minority populations to use and teach their own languages in schools, in accord with local educational policies and as long as this is not discriminatory with regards to students' learning or participation. </w:t>
      </w:r>
    </w:p>
    <w:p w14:paraId="4B2A03BC" w14:textId="77777777" w:rsidR="006145A3" w:rsidRPr="00862D5A" w:rsidRDefault="006145A3" w:rsidP="006145A3">
      <w:pPr>
        <w:pStyle w:val="Para0"/>
      </w:pPr>
      <w:r>
        <w:t>Article </w:t>
      </w:r>
      <w:r w:rsidRPr="00865FE5">
        <w:t xml:space="preserve">4.3 of the UN Declaration on the Rights of Persons Belonging to National or Ethnic, Religious and Linguistic Minorities </w:t>
      </w:r>
      <w:sdt>
        <w:sdtPr>
          <w:id w:val="871968044"/>
          <w:citation/>
        </w:sdtPr>
        <w:sdtEndPr/>
        <w:sdtContent>
          <w:r>
            <w:fldChar w:fldCharType="begin"/>
          </w:r>
          <w:r>
            <w:instrText xml:space="preserve"> CITATION UNG92 \l 2057 </w:instrText>
          </w:r>
          <w:r>
            <w:fldChar w:fldCharType="separate"/>
          </w:r>
          <w:r w:rsidRPr="007813EB">
            <w:rPr>
              <w:noProof/>
            </w:rPr>
            <w:t>(</w:t>
          </w:r>
          <w:bookmarkStart w:id="104" w:name="UNG92_63"/>
          <w:r w:rsidRPr="007813EB">
            <w:rPr>
              <w:noProof/>
            </w:rPr>
            <w:t>UN General Assembly, 1992</w:t>
          </w:r>
          <w:r w:rsidRPr="007813EB">
            <w:rPr>
              <w:noProof/>
              <w:vertAlign w:val="subscript"/>
            </w:rPr>
            <w:t>[63]</w:t>
          </w:r>
          <w:r w:rsidRPr="007813EB">
            <w:rPr>
              <w:noProof/>
            </w:rPr>
            <w:t>)</w:t>
          </w:r>
          <w:bookmarkEnd w:id="104"/>
          <w:r>
            <w:fldChar w:fldCharType="end"/>
          </w:r>
        </w:sdtContent>
      </w:sdt>
      <w:r>
        <w:t xml:space="preserve"> </w:t>
      </w:r>
      <w:r w:rsidRPr="00862D5A">
        <w:t>covers both mother tongue medium instruction and learning a heritage language</w:t>
      </w:r>
      <w:r>
        <w:t xml:space="preserve"> (</w:t>
      </w:r>
      <w:r w:rsidRPr="005C68E8">
        <w:t>a language associated with a person's family, which they may or may not speak, and which is usually distinct from the national  language(s))</w:t>
      </w:r>
      <w:r w:rsidRPr="00862D5A">
        <w:t xml:space="preserve">: </w:t>
      </w:r>
    </w:p>
    <w:p w14:paraId="25DE3065" w14:textId="77777777" w:rsidR="006145A3" w:rsidRPr="00DE6C5F" w:rsidRDefault="006145A3" w:rsidP="006145A3">
      <w:pPr>
        <w:pStyle w:val="Quote"/>
      </w:pPr>
      <w:r w:rsidRPr="00DE6C5F">
        <w:t xml:space="preserve">States should take appropriate measures so that, wherever possible, persons belonging to minorities may have adequate opportunities to learn their mother tongue or to have instruction in their mother tongue. </w:t>
      </w:r>
    </w:p>
    <w:p w14:paraId="57F35826" w14:textId="557AEBF7" w:rsidR="006145A3" w:rsidRPr="00862D5A" w:rsidRDefault="006145A3" w:rsidP="006145A3">
      <w:pPr>
        <w:pStyle w:val="Para0"/>
      </w:pPr>
      <w:r w:rsidRPr="00862D5A">
        <w:t>Article</w:t>
      </w:r>
      <w:r>
        <w:t> </w:t>
      </w:r>
      <w:r w:rsidRPr="00862D5A">
        <w:t>4.4 adds to this "language awareness", both in Indigenous communit</w:t>
      </w:r>
      <w:r>
        <w:t>ies</w:t>
      </w:r>
      <w:r w:rsidRPr="00862D5A">
        <w:t xml:space="preserve"> and in wider society. Language awareness is also addressed in the </w:t>
      </w:r>
      <w:r w:rsidR="00802DDB">
        <w:t xml:space="preserve">UNESCO </w:t>
      </w:r>
      <w:r w:rsidRPr="00862D5A">
        <w:t>Convention for the Safeguarding of the Intangible Cultural Heritage (</w:t>
      </w:r>
      <w:r w:rsidRPr="005C35BB">
        <w:t>UNESCO, 2003</w:t>
      </w:r>
      <w:r w:rsidRPr="00862D5A">
        <w:t xml:space="preserve">) </w:t>
      </w:r>
      <w:r>
        <w:t>noting the importance of</w:t>
      </w:r>
      <w:r w:rsidRPr="00862D5A">
        <w:t xml:space="preserve"> "educational, awareness-raising and information programmes" (Article</w:t>
      </w:r>
      <w:r>
        <w:t> 2.2. and Article </w:t>
      </w:r>
      <w:r w:rsidRPr="00862D5A">
        <w:t>14 a.i-ii):</w:t>
      </w:r>
    </w:p>
    <w:p w14:paraId="2D899242" w14:textId="77777777" w:rsidR="006145A3" w:rsidRPr="00DE6C5F" w:rsidRDefault="006145A3" w:rsidP="006145A3">
      <w:pPr>
        <w:pStyle w:val="Quote"/>
      </w:pPr>
      <w:r w:rsidRPr="00DE6C5F">
        <w:t xml:space="preserve">States should, where appropriate, take measures in the field of education, in order to encourage knowledge of the history, traditions, language and culture of the minorities existing within their territory. Persons belonging to minorities should have adequate opportunities to gain knowledge of the society as a whole. </w:t>
      </w:r>
    </w:p>
    <w:p w14:paraId="11BCA966" w14:textId="77777777" w:rsidR="006145A3" w:rsidRPr="00862D5A" w:rsidRDefault="006145A3" w:rsidP="006145A3">
      <w:pPr>
        <w:pStyle w:val="Para0"/>
      </w:pPr>
      <w:r w:rsidRPr="00862D5A">
        <w:lastRenderedPageBreak/>
        <w:t>The phrase "adequate</w:t>
      </w:r>
      <w:r>
        <w:t xml:space="preserve"> opportunities" in both Article </w:t>
      </w:r>
      <w:r w:rsidRPr="00862D5A">
        <w:t>4.3 and 4.4 bring in the importanc</w:t>
      </w:r>
      <w:r>
        <w:t>e of resourcing, and in Article </w:t>
      </w:r>
      <w:r w:rsidRPr="00862D5A">
        <w:t>4.4. the phrase implies support for learning about the wider society both through learning the language(s) of wider communication and through mother tongue medium instruction.</w:t>
      </w:r>
    </w:p>
    <w:p w14:paraId="0DBB631B" w14:textId="77777777" w:rsidR="006145A3" w:rsidRPr="00501540" w:rsidRDefault="006145A3" w:rsidP="006145A3">
      <w:pPr>
        <w:pStyle w:val="Heading3"/>
        <w:numPr>
          <w:ilvl w:val="2"/>
          <w:numId w:val="22"/>
        </w:numPr>
        <w:rPr>
          <w:rFonts w:ascii="Times New Roman" w:hAnsi="Times New Roman" w:cs="Times New Roman"/>
          <w:lang w:val="en-US"/>
        </w:rPr>
      </w:pPr>
      <w:r w:rsidRPr="00501540">
        <w:rPr>
          <w:rFonts w:ascii="Times New Roman" w:hAnsi="Times New Roman" w:cs="Times New Roman"/>
          <w:lang w:val="en-US"/>
        </w:rPr>
        <w:t>Mobilisation of international covenants for New Languages</w:t>
      </w:r>
    </w:p>
    <w:p w14:paraId="68D5CD5C" w14:textId="5C99E4BE" w:rsidR="006145A3" w:rsidRPr="00862D5A" w:rsidRDefault="006145A3" w:rsidP="006145A3">
      <w:pPr>
        <w:pStyle w:val="Para0"/>
      </w:pPr>
      <w:r w:rsidRPr="00862D5A">
        <w:t xml:space="preserve">New Indigenous languages are implicitly included in all international covenants that seek to ensure language rights for language communities. </w:t>
      </w:r>
      <w:r>
        <w:t>T</w:t>
      </w:r>
      <w:r w:rsidRPr="00862D5A">
        <w:t xml:space="preserve">his </w:t>
      </w:r>
      <w:r>
        <w:t xml:space="preserve">is </w:t>
      </w:r>
      <w:r w:rsidRPr="00862D5A">
        <w:t>explicit</w:t>
      </w:r>
      <w:r>
        <w:t xml:space="preserve"> in some documents </w:t>
      </w:r>
      <w:r w:rsidR="00802DDB">
        <w:t xml:space="preserve">for </w:t>
      </w:r>
      <w:r>
        <w:t>particular regions</w:t>
      </w:r>
      <w:r w:rsidRPr="00862D5A">
        <w:t>, e.g.</w:t>
      </w:r>
      <w:r>
        <w:t> </w:t>
      </w:r>
      <w:r w:rsidRPr="00862D5A">
        <w:t xml:space="preserve">Article 5(1) of the </w:t>
      </w:r>
      <w:r w:rsidRPr="00862D5A">
        <w:rPr>
          <w:i/>
        </w:rPr>
        <w:t>Charter on language policy and language rights in the creole-speaking Caribbean</w:t>
      </w:r>
      <w:r w:rsidRPr="00862D5A">
        <w:t xml:space="preserve"> states:</w:t>
      </w:r>
    </w:p>
    <w:p w14:paraId="6D34385B" w14:textId="77777777" w:rsidR="006145A3" w:rsidRPr="00DE6C5F" w:rsidRDefault="006145A3" w:rsidP="006145A3">
      <w:pPr>
        <w:pStyle w:val="Quote"/>
      </w:pPr>
      <w:r w:rsidRPr="00DE6C5F">
        <w:t xml:space="preserve">This Charter is based on the principles that the rights of all language communities are equal and independent of the legal or political status of their languages as official, national, </w:t>
      </w:r>
      <w:r>
        <w:t>regional, minority, immigrant, I</w:t>
      </w:r>
      <w:r w:rsidRPr="00DE6C5F">
        <w:t xml:space="preserve">ndigenous or maroon languages. </w:t>
      </w:r>
    </w:p>
    <w:p w14:paraId="0762F785" w14:textId="77777777" w:rsidR="006145A3" w:rsidRPr="00DE6C5F" w:rsidRDefault="008D0BBE" w:rsidP="006145A3">
      <w:pPr>
        <w:pStyle w:val="Quote"/>
      </w:pPr>
      <w:sdt>
        <w:sdtPr>
          <w:id w:val="-388117815"/>
          <w:citation/>
        </w:sdtPr>
        <w:sdtEndPr/>
        <w:sdtContent>
          <w:r w:rsidR="006145A3">
            <w:fldChar w:fldCharType="begin"/>
          </w:r>
          <w:r w:rsidR="006145A3">
            <w:instrText xml:space="preserve">CITATION Int21 \l 2057 </w:instrText>
          </w:r>
          <w:r w:rsidR="006145A3">
            <w:fldChar w:fldCharType="separate"/>
          </w:r>
          <w:r w:rsidR="006145A3" w:rsidRPr="0007581A">
            <w:rPr>
              <w:noProof/>
            </w:rPr>
            <w:t>(</w:t>
          </w:r>
          <w:bookmarkStart w:id="105" w:name="Int21_64"/>
          <w:r w:rsidR="006145A3" w:rsidRPr="0007581A">
            <w:rPr>
              <w:noProof/>
            </w:rPr>
            <w:t>International Center for Caribbean Language Research (ICCLR), 2011</w:t>
          </w:r>
          <w:r w:rsidR="006145A3" w:rsidRPr="0007581A">
            <w:rPr>
              <w:noProof/>
              <w:vertAlign w:val="subscript"/>
            </w:rPr>
            <w:t>[64]</w:t>
          </w:r>
          <w:r w:rsidR="006145A3" w:rsidRPr="0007581A">
            <w:rPr>
              <w:noProof/>
            </w:rPr>
            <w:t>)</w:t>
          </w:r>
          <w:bookmarkEnd w:id="105"/>
          <w:r w:rsidR="006145A3">
            <w:fldChar w:fldCharType="end"/>
          </w:r>
        </w:sdtContent>
      </w:sdt>
    </w:p>
    <w:p w14:paraId="7ABE518D" w14:textId="77777777" w:rsidR="006145A3" w:rsidRPr="00A93A4C" w:rsidRDefault="006145A3" w:rsidP="006145A3">
      <w:pPr>
        <w:pStyle w:val="Para0"/>
      </w:pPr>
      <w:r w:rsidRPr="00A93A4C">
        <w:t>The charter explicitly includes "emerging and/or newly</w:t>
      </w:r>
      <w:r>
        <w:t xml:space="preserve"> developing languages" (Article </w:t>
      </w:r>
      <w:r w:rsidRPr="00A93A4C">
        <w:t xml:space="preserve">5d). </w:t>
      </w:r>
    </w:p>
    <w:p w14:paraId="724B7CD0" w14:textId="77777777" w:rsidR="006145A3" w:rsidRPr="00803C6D" w:rsidRDefault="006145A3" w:rsidP="006145A3">
      <w:pPr>
        <w:pStyle w:val="Heading2"/>
        <w:numPr>
          <w:ilvl w:val="1"/>
          <w:numId w:val="22"/>
        </w:numPr>
      </w:pPr>
      <w:bookmarkStart w:id="106" w:name="_Toc82093564"/>
      <w:bookmarkStart w:id="107" w:name="_Toc95824103"/>
      <w:r>
        <w:t xml:space="preserve">National </w:t>
      </w:r>
      <w:r w:rsidRPr="00DE6C5F">
        <w:t>contexts</w:t>
      </w:r>
      <w:bookmarkEnd w:id="106"/>
      <w:bookmarkEnd w:id="107"/>
    </w:p>
    <w:p w14:paraId="55003BA9" w14:textId="77777777" w:rsidR="006145A3" w:rsidRDefault="006145A3" w:rsidP="006145A3">
      <w:pPr>
        <w:pStyle w:val="Para0"/>
      </w:pPr>
      <w:r w:rsidRPr="00862D5A">
        <w:t xml:space="preserve">In looking at </w:t>
      </w:r>
      <w:r w:rsidRPr="00DA0522">
        <w:t>particular jurisdictions we note whether the jurisdiction has legislation or policies or curricula which relate to languages in general, or to Indigenous languages in particular.</w:t>
      </w:r>
    </w:p>
    <w:p w14:paraId="04FDA53B" w14:textId="77777777" w:rsidR="006145A3" w:rsidRDefault="006145A3" w:rsidP="006145A3">
      <w:pPr>
        <w:pStyle w:val="Para0"/>
      </w:pPr>
      <w:r>
        <w:t>The United Nations General Assembly proclaimed 2019 as the International Year of Indigenous Languages. The purpose of this decision was to:</w:t>
      </w:r>
    </w:p>
    <w:p w14:paraId="11B86BF4" w14:textId="77777777" w:rsidR="006145A3" w:rsidRPr="00DE6C5F" w:rsidRDefault="006145A3" w:rsidP="006145A3">
      <w:pPr>
        <w:pStyle w:val="Quote"/>
      </w:pPr>
      <w:r w:rsidRPr="00DE6C5F">
        <w:t>… draw attention to the critical loss of Indigenous languages and the urgent need to preserve, revitalise and promote them, and take further urgent steps at the national and international levels.</w:t>
      </w:r>
    </w:p>
    <w:p w14:paraId="6B1226DC" w14:textId="77777777" w:rsidR="006145A3" w:rsidRPr="00DE6C5F" w:rsidRDefault="008D0BBE" w:rsidP="006145A3">
      <w:pPr>
        <w:pStyle w:val="Quote"/>
      </w:pPr>
      <w:sdt>
        <w:sdtPr>
          <w:id w:val="-1991553135"/>
          <w:citation/>
        </w:sdtPr>
        <w:sdtEndPr/>
        <w:sdtContent>
          <w:r w:rsidR="006145A3">
            <w:fldChar w:fldCharType="begin"/>
          </w:r>
          <w:r w:rsidR="006145A3">
            <w:instrText xml:space="preserve"> CITATION UNE21 \l 2057 </w:instrText>
          </w:r>
          <w:r w:rsidR="006145A3">
            <w:fldChar w:fldCharType="separate"/>
          </w:r>
          <w:r w:rsidR="006145A3" w:rsidRPr="0007581A">
            <w:rPr>
              <w:noProof/>
            </w:rPr>
            <w:t>(</w:t>
          </w:r>
          <w:bookmarkStart w:id="108" w:name="UNE21_64"/>
          <w:r w:rsidR="006145A3" w:rsidRPr="0007581A">
            <w:rPr>
              <w:noProof/>
            </w:rPr>
            <w:t>UNESCO, 2021</w:t>
          </w:r>
          <w:r w:rsidR="006145A3" w:rsidRPr="0007581A">
            <w:rPr>
              <w:noProof/>
              <w:vertAlign w:val="subscript"/>
            </w:rPr>
            <w:t>[64]</w:t>
          </w:r>
          <w:r w:rsidR="006145A3" w:rsidRPr="0007581A">
            <w:rPr>
              <w:noProof/>
            </w:rPr>
            <w:t>)</w:t>
          </w:r>
          <w:bookmarkEnd w:id="108"/>
          <w:r w:rsidR="006145A3">
            <w:fldChar w:fldCharType="end"/>
          </w:r>
        </w:sdtContent>
      </w:sdt>
    </w:p>
    <w:p w14:paraId="3269C11B" w14:textId="77777777" w:rsidR="006145A3" w:rsidRDefault="006145A3" w:rsidP="006145A3">
      <w:pPr>
        <w:pStyle w:val="Para0"/>
      </w:pPr>
      <w:r>
        <w:t>Throughout 2019, over 800 initiatives were implemented worldwide by a range of entities, including UNESCO, national administrations and Indigenous peoples’ organisations.</w:t>
      </w:r>
    </w:p>
    <w:p w14:paraId="1E21F3F7" w14:textId="77777777" w:rsidR="006145A3" w:rsidRPr="00DA0522" w:rsidRDefault="006145A3" w:rsidP="006145A3">
      <w:pPr>
        <w:pStyle w:val="Para0"/>
      </w:pPr>
      <w:r>
        <w:t xml:space="preserve">In December 2019, the UN General Assembly declared 2022-2032 as the International Decade of Indigenous Languages, as a mechanism to raise awareness of the importance of Indigenous languages for sustainable development, peace-building and reconciliation, as well as to further mobilise stakeholders and resources to support and promote Indigenous languages worldwide </w:t>
      </w:r>
      <w:sdt>
        <w:sdtPr>
          <w:id w:val="1887827892"/>
          <w:citation/>
        </w:sdtPr>
        <w:sdtEndPr/>
        <w:sdtContent>
          <w:r>
            <w:fldChar w:fldCharType="begin"/>
          </w:r>
          <w:r>
            <w:instrText xml:space="preserve"> CITATION UNE21 \l 2057 </w:instrText>
          </w:r>
          <w:r>
            <w:fldChar w:fldCharType="separate"/>
          </w:r>
          <w:r w:rsidRPr="0007581A">
            <w:rPr>
              <w:noProof/>
            </w:rPr>
            <w:t>(UNESCO, 2021</w:t>
          </w:r>
          <w:r w:rsidRPr="0007581A">
            <w:rPr>
              <w:noProof/>
              <w:vertAlign w:val="subscript"/>
            </w:rPr>
            <w:t>[64]</w:t>
          </w:r>
          <w:r w:rsidRPr="0007581A">
            <w:rPr>
              <w:noProof/>
            </w:rPr>
            <w:t>)</w:t>
          </w:r>
          <w:r>
            <w:fldChar w:fldCharType="end"/>
          </w:r>
        </w:sdtContent>
      </w:sdt>
      <w:r>
        <w:t>.</w:t>
      </w:r>
    </w:p>
    <w:p w14:paraId="17990554" w14:textId="77777777" w:rsidR="006145A3" w:rsidRPr="00803C6D" w:rsidRDefault="006145A3" w:rsidP="006145A3">
      <w:pPr>
        <w:pStyle w:val="Heading2"/>
        <w:numPr>
          <w:ilvl w:val="1"/>
          <w:numId w:val="22"/>
        </w:numPr>
      </w:pPr>
      <w:bookmarkStart w:id="109" w:name="_Toc32138001"/>
      <w:bookmarkStart w:id="110" w:name="_Toc32138015"/>
      <w:bookmarkStart w:id="111" w:name="_Toc82093565"/>
      <w:bookmarkStart w:id="112" w:name="_Toc95824104"/>
      <w:bookmarkEnd w:id="109"/>
      <w:r w:rsidRPr="00DE6C5F">
        <w:t>Aotearoa</w:t>
      </w:r>
      <w:r>
        <w:t xml:space="preserve"> </w:t>
      </w:r>
      <w:r w:rsidRPr="00803C6D">
        <w:t>New</w:t>
      </w:r>
      <w:r>
        <w:t> </w:t>
      </w:r>
      <w:r w:rsidRPr="00803C6D">
        <w:t>Zealand</w:t>
      </w:r>
      <w:bookmarkEnd w:id="110"/>
      <w:bookmarkEnd w:id="111"/>
      <w:bookmarkEnd w:id="112"/>
    </w:p>
    <w:p w14:paraId="646E1CA3" w14:textId="77777777" w:rsidR="006145A3" w:rsidRPr="000970B7" w:rsidRDefault="006145A3" w:rsidP="006145A3">
      <w:pPr>
        <w:pStyle w:val="Para0"/>
      </w:pPr>
      <w:r w:rsidRPr="00DA0522">
        <w:t>Māori are the only Indigenous</w:t>
      </w:r>
      <w:r>
        <w:t xml:space="preserve"> group on mainland Aotearoa New </w:t>
      </w:r>
      <w:r w:rsidRPr="00DA0522">
        <w:t>Zealand</w:t>
      </w:r>
      <w:r w:rsidRPr="000970B7">
        <w:t xml:space="preserve"> and hence legislation, policies and initiatives usually make reference to </w:t>
      </w:r>
      <w:r>
        <w:t>“Māori”</w:t>
      </w:r>
      <w:r w:rsidRPr="000970B7">
        <w:t xml:space="preserve"> rather </w:t>
      </w:r>
      <w:r>
        <w:t>than a collective term such as “</w:t>
      </w:r>
      <w:r w:rsidRPr="000970B7">
        <w:t>Indigenous</w:t>
      </w:r>
      <w:r>
        <w:t>”</w:t>
      </w:r>
      <w:r w:rsidRPr="000970B7">
        <w:t>. There are also three island groups with Indigenous populations in the Realm of New</w:t>
      </w:r>
      <w:r>
        <w:t> </w:t>
      </w:r>
      <w:r w:rsidRPr="000970B7">
        <w:t>Zealand: Tokelau, which is a non-self-governing dependent territory, and Niue and Cook Islands which are self-governing associated states. We focus here primarily on the jurisd</w:t>
      </w:r>
      <w:r>
        <w:t>iction of mainland Aotearoa New </w:t>
      </w:r>
      <w:r w:rsidRPr="000970B7">
        <w:t>Zealand.</w:t>
      </w:r>
    </w:p>
    <w:p w14:paraId="6F4D9119" w14:textId="77777777" w:rsidR="006145A3" w:rsidRPr="00852D94" w:rsidRDefault="006145A3" w:rsidP="006145A3">
      <w:pPr>
        <w:pStyle w:val="Heading3"/>
        <w:numPr>
          <w:ilvl w:val="2"/>
          <w:numId w:val="22"/>
        </w:numPr>
      </w:pPr>
      <w:bookmarkStart w:id="113" w:name="_Toc32138016"/>
      <w:bookmarkEnd w:id="113"/>
      <w:r w:rsidRPr="00852D94">
        <w:t xml:space="preserve">Official </w:t>
      </w:r>
      <w:r w:rsidRPr="00DE6C5F">
        <w:t>languages</w:t>
      </w:r>
    </w:p>
    <w:p w14:paraId="0DC45DE7" w14:textId="77777777" w:rsidR="006145A3" w:rsidRPr="000970B7" w:rsidRDefault="006145A3" w:rsidP="006145A3">
      <w:pPr>
        <w:pStyle w:val="Para0"/>
      </w:pPr>
      <w:r w:rsidRPr="00A9006F">
        <w:rPr>
          <w:i/>
          <w:iCs/>
        </w:rPr>
        <w:t>Te reo Māori</w:t>
      </w:r>
      <w:r w:rsidRPr="000970B7">
        <w:t xml:space="preserve"> and New</w:t>
      </w:r>
      <w:r>
        <w:t> </w:t>
      </w:r>
      <w:r w:rsidRPr="000970B7">
        <w:t xml:space="preserve">Zealand Sign Language are the </w:t>
      </w:r>
      <w:r w:rsidRPr="00DA0522">
        <w:t>official languages</w:t>
      </w:r>
      <w:r w:rsidRPr="000970B7">
        <w:t xml:space="preserve"> of Aotearoa New</w:t>
      </w:r>
      <w:r>
        <w:t> </w:t>
      </w:r>
      <w:r w:rsidRPr="000970B7">
        <w:t xml:space="preserve">Zealand, although English is the language that is most commony used. </w:t>
      </w:r>
    </w:p>
    <w:p w14:paraId="41531719" w14:textId="77777777" w:rsidR="006145A3" w:rsidRDefault="006145A3" w:rsidP="006145A3">
      <w:pPr>
        <w:pStyle w:val="Para0"/>
      </w:pPr>
      <w:r w:rsidRPr="000970B7">
        <w:lastRenderedPageBreak/>
        <w:t xml:space="preserve">The </w:t>
      </w:r>
      <w:r w:rsidRPr="00DA0522">
        <w:t>legal status for the Māori language derives from the 1840 Treaty of Waitangi</w:t>
      </w:r>
      <w:r>
        <w:t xml:space="preserve">, </w:t>
      </w:r>
      <w:r w:rsidRPr="00DB3F02">
        <w:rPr>
          <w:lang w:val="mi-NZ"/>
        </w:rPr>
        <w:t>which was signed (at Waitangi) between representatives of the British Crown and Māori chiefs. Since Aotearoa New</w:t>
      </w:r>
      <w:r>
        <w:rPr>
          <w:lang w:val="mi-NZ"/>
        </w:rPr>
        <w:t> </w:t>
      </w:r>
      <w:r w:rsidRPr="00DB3F02">
        <w:rPr>
          <w:lang w:val="mi-NZ"/>
        </w:rPr>
        <w:t xml:space="preserve">Zealand has no constitution, </w:t>
      </w:r>
      <w:r>
        <w:rPr>
          <w:lang w:val="mi-NZ"/>
        </w:rPr>
        <w:t>t</w:t>
      </w:r>
      <w:r w:rsidRPr="00DB3F02">
        <w:rPr>
          <w:lang w:val="mi-NZ"/>
        </w:rPr>
        <w:t>he Treaty (</w:t>
      </w:r>
      <w:r w:rsidRPr="00DB3F02">
        <w:rPr>
          <w:i/>
          <w:iCs/>
          <w:lang w:val="mi-NZ"/>
        </w:rPr>
        <w:t xml:space="preserve">te Tiriti </w:t>
      </w:r>
      <w:r>
        <w:rPr>
          <w:i/>
          <w:iCs/>
          <w:lang w:val="mi-NZ"/>
        </w:rPr>
        <w:t xml:space="preserve">o </w:t>
      </w:r>
      <w:r w:rsidRPr="00DB3F02">
        <w:rPr>
          <w:i/>
          <w:iCs/>
          <w:lang w:val="mi-NZ"/>
        </w:rPr>
        <w:t>Waitangi</w:t>
      </w:r>
      <w:r w:rsidRPr="00DB3F02">
        <w:rPr>
          <w:lang w:val="mi-NZ"/>
        </w:rPr>
        <w:t>) is widely regarded as the founding document of the country</w:t>
      </w:r>
      <w:r w:rsidRPr="00DB3F02">
        <w:t>. A</w:t>
      </w:r>
      <w:r w:rsidRPr="00DA0522">
        <w:t xml:space="preserve"> Māori language claim was put to the Waitangi Tribunal in 1985, asserting that </w:t>
      </w:r>
      <w:r w:rsidRPr="00A9006F">
        <w:rPr>
          <w:i/>
          <w:iCs/>
        </w:rPr>
        <w:t>te reo Māori</w:t>
      </w:r>
      <w:r w:rsidRPr="00DA0522">
        <w:t xml:space="preserve"> (the Māori language) was a </w:t>
      </w:r>
      <w:r w:rsidRPr="00DA0522">
        <w:rPr>
          <w:i/>
        </w:rPr>
        <w:t>taonga</w:t>
      </w:r>
      <w:r w:rsidRPr="00DA0522">
        <w:t xml:space="preserve"> </w:t>
      </w:r>
      <w:r>
        <w:t>(</w:t>
      </w:r>
      <w:r w:rsidRPr="00DA0522">
        <w:t>treasure</w:t>
      </w:r>
      <w:r>
        <w:t>)</w:t>
      </w:r>
      <w:r w:rsidRPr="00DA0522">
        <w:t xml:space="preserve"> that should be nurtured under the Treaty of Waitangi. The decline of </w:t>
      </w:r>
      <w:r w:rsidRPr="00A9006F">
        <w:rPr>
          <w:i/>
          <w:iCs/>
        </w:rPr>
        <w:t>te reo Māori</w:t>
      </w:r>
      <w:r w:rsidRPr="00DA0522">
        <w:t xml:space="preserve"> was presented as evidence that the Crown had breached this obligation. The Waitangi Tribunal recommended redress for this breach, leading to far-reaching legislative and policy changes,</w:t>
      </w:r>
      <w:r w:rsidRPr="000970B7">
        <w:t xml:space="preserve"> beginning with the 1987 </w:t>
      </w:r>
      <w:r w:rsidRPr="000970B7">
        <w:rPr>
          <w:i/>
        </w:rPr>
        <w:t>Māori Language Act.</w:t>
      </w:r>
      <w:r w:rsidRPr="000970B7">
        <w:t xml:space="preserve"> </w:t>
      </w:r>
    </w:p>
    <w:p w14:paraId="2BA9EC0E" w14:textId="0361C5FE" w:rsidR="006145A3" w:rsidRDefault="006145A3" w:rsidP="006145A3">
      <w:pPr>
        <w:pStyle w:val="Para0"/>
        <w:rPr>
          <w:lang w:val="en-US"/>
        </w:rPr>
      </w:pPr>
      <w:bookmarkStart w:id="114" w:name="_Toc32138017"/>
      <w:bookmarkEnd w:id="114"/>
      <w:r>
        <w:t>In the Realm of New </w:t>
      </w:r>
      <w:r w:rsidRPr="00191E50">
        <w:t xml:space="preserve">Zealand, the self-governing state of the Cook Islands </w:t>
      </w:r>
      <w:r w:rsidRPr="000970B7">
        <w:t xml:space="preserve">(Rarotonga) </w:t>
      </w:r>
      <w:r w:rsidRPr="00191E50">
        <w:t xml:space="preserve">has </w:t>
      </w:r>
      <w:r w:rsidR="00802DDB">
        <w:t>Te Reo Kuki Airani (</w:t>
      </w:r>
      <w:r w:rsidRPr="00191E50">
        <w:t>Cook Islands Māori</w:t>
      </w:r>
      <w:r w:rsidR="00802DDB">
        <w:t>)</w:t>
      </w:r>
      <w:r w:rsidRPr="00191E50">
        <w:t xml:space="preserve"> </w:t>
      </w:r>
      <w:r>
        <w:t xml:space="preserve">and </w:t>
      </w:r>
      <w:r w:rsidRPr="00191E50">
        <w:t>English</w:t>
      </w:r>
      <w:r>
        <w:t xml:space="preserve"> as official languages;</w:t>
      </w:r>
      <w:r w:rsidRPr="00191E50">
        <w:rPr>
          <w:lang w:val="en-US"/>
        </w:rPr>
        <w:t xml:space="preserve"> </w:t>
      </w:r>
      <w:r>
        <w:rPr>
          <w:lang w:val="en-US"/>
        </w:rPr>
        <w:t xml:space="preserve">and </w:t>
      </w:r>
      <w:r w:rsidR="00802DDB">
        <w:rPr>
          <w:lang w:val="en-US"/>
        </w:rPr>
        <w:t>v</w:t>
      </w:r>
      <w:r w:rsidRPr="00191E50">
        <w:rPr>
          <w:lang w:val="en-US"/>
        </w:rPr>
        <w:t xml:space="preserve">agahau Niue </w:t>
      </w:r>
      <w:r>
        <w:rPr>
          <w:lang w:val="en-US"/>
        </w:rPr>
        <w:t>i</w:t>
      </w:r>
      <w:r w:rsidRPr="00191E50">
        <w:rPr>
          <w:lang w:val="en-US"/>
        </w:rPr>
        <w:t xml:space="preserve">s the official language of </w:t>
      </w:r>
      <w:r>
        <w:rPr>
          <w:lang w:val="en-US"/>
        </w:rPr>
        <w:t>t</w:t>
      </w:r>
      <w:r w:rsidRPr="00191E50">
        <w:rPr>
          <w:lang w:val="en-US"/>
        </w:rPr>
        <w:t>he self-governing state of Niue in 2012</w:t>
      </w:r>
      <w:r>
        <w:rPr>
          <w:lang w:val="en-US"/>
        </w:rPr>
        <w:t xml:space="preserve">, although </w:t>
      </w:r>
      <w:r w:rsidRPr="00F326FF">
        <w:rPr>
          <w:lang w:val="en-US"/>
        </w:rPr>
        <w:t>English is also widely used</w:t>
      </w:r>
      <w:r>
        <w:rPr>
          <w:lang w:val="en-US"/>
        </w:rPr>
        <w:t xml:space="preserve">. </w:t>
      </w:r>
    </w:p>
    <w:p w14:paraId="30D1A3FD" w14:textId="39C52013" w:rsidR="006145A3" w:rsidRPr="00D01BAE" w:rsidRDefault="00802DDB" w:rsidP="006145A3">
      <w:pPr>
        <w:pStyle w:val="Para0"/>
      </w:pPr>
      <w:r>
        <w:t xml:space="preserve">Gagana Tokelau, the Indigenous language of the non-self-governing territory of Tokelau, is recognised “as a source of strength and identity and as the key element that distinguishes Tokelauans from other groups” in the </w:t>
      </w:r>
      <w:r w:rsidR="006145A3" w:rsidRPr="00D01BAE">
        <w:t>2003 Joint Statement of the Principles of Partnership between New</w:t>
      </w:r>
      <w:r w:rsidR="006145A3">
        <w:t> </w:t>
      </w:r>
      <w:r>
        <w:t xml:space="preserve"> </w:t>
      </w:r>
      <w:r w:rsidR="006145A3" w:rsidRPr="00D01BAE">
        <w:t>Zealand and Tokelau (</w:t>
      </w:r>
      <w:r w:rsidR="006145A3" w:rsidRPr="005C35BB">
        <w:t>Government of Tokelau (n.d</w:t>
      </w:r>
      <w:r w:rsidR="006145A3" w:rsidRPr="00D01BAE">
        <w:t>)</w:t>
      </w:r>
      <w:r w:rsidR="006145A3">
        <w:t>)</w:t>
      </w:r>
      <w:r w:rsidR="006145A3">
        <w:rPr>
          <w:rStyle w:val="FootnoteReference"/>
        </w:rPr>
        <w:footnoteReference w:id="1"/>
      </w:r>
      <w:r w:rsidR="006145A3" w:rsidRPr="00D01BAE">
        <w:t>.</w:t>
      </w:r>
    </w:p>
    <w:p w14:paraId="758CDEA6" w14:textId="77777777" w:rsidR="006145A3" w:rsidRPr="00191E50" w:rsidRDefault="006145A3" w:rsidP="006145A3">
      <w:pPr>
        <w:pStyle w:val="Para0"/>
      </w:pPr>
      <w:r w:rsidRPr="000970B7">
        <w:t xml:space="preserve">The </w:t>
      </w:r>
      <w:r w:rsidRPr="00191E50">
        <w:rPr>
          <w:i/>
        </w:rPr>
        <w:t>Māori Language Act</w:t>
      </w:r>
      <w:r w:rsidRPr="00191E50">
        <w:t xml:space="preserve"> 1987 declared </w:t>
      </w:r>
      <w:r w:rsidRPr="00A9006F">
        <w:rPr>
          <w:i/>
          <w:iCs/>
        </w:rPr>
        <w:t>te reo Māori</w:t>
      </w:r>
      <w:r w:rsidRPr="00191E50">
        <w:t xml:space="preserve"> to</w:t>
      </w:r>
      <w:r>
        <w:t xml:space="preserve"> be an official language of New </w:t>
      </w:r>
      <w:r w:rsidRPr="00191E50">
        <w:t xml:space="preserve">Zealand and set up </w:t>
      </w:r>
      <w:r w:rsidRPr="00E2152E">
        <w:rPr>
          <w:i/>
        </w:rPr>
        <w:t>Te Taura Whiri i te Reo Māori</w:t>
      </w:r>
      <w:r>
        <w:t xml:space="preserve"> “</w:t>
      </w:r>
      <w:r w:rsidRPr="00191E50">
        <w:t>the Māori Language Commission</w:t>
      </w:r>
      <w:r>
        <w:t>”</w:t>
      </w:r>
      <w:r w:rsidRPr="00191E50">
        <w:t xml:space="preserve"> to promote the Māori language. This Act was repealed on the passing of </w:t>
      </w:r>
      <w:r w:rsidRPr="00191E50">
        <w:rPr>
          <w:i/>
          <w:iCs/>
        </w:rPr>
        <w:t>Te</w:t>
      </w:r>
      <w:r w:rsidRPr="00191E50">
        <w:rPr>
          <w:i/>
        </w:rPr>
        <w:t xml:space="preserve"> Ture mō te Reo Māori 2016</w:t>
      </w:r>
      <w:r w:rsidRPr="00191E50">
        <w:t xml:space="preserve"> 'the Māori Language Act 2016</w:t>
      </w:r>
      <w:r>
        <w:t>”</w:t>
      </w:r>
      <w:r w:rsidRPr="00191E50">
        <w:t xml:space="preserve"> </w:t>
      </w:r>
      <w:r w:rsidRPr="005C35BB">
        <w:t>([Government of New Zealand], 2016</w:t>
      </w:r>
      <w:r w:rsidRPr="00191E50">
        <w:t>). Section</w:t>
      </w:r>
      <w:r>
        <w:t> </w:t>
      </w:r>
      <w:r w:rsidRPr="00191E50">
        <w:t>2 of the 2016 Act states its purpose:</w:t>
      </w:r>
    </w:p>
    <w:p w14:paraId="384679EB" w14:textId="77777777" w:rsidR="006145A3" w:rsidRPr="00191E50" w:rsidRDefault="006145A3" w:rsidP="006145A3">
      <w:pPr>
        <w:pStyle w:val="Quote"/>
        <w:rPr>
          <w:lang w:val="en-US"/>
        </w:rPr>
      </w:pPr>
      <w:r w:rsidRPr="00191E50">
        <w:rPr>
          <w:lang w:val="en-US"/>
        </w:rPr>
        <w:t xml:space="preserve">(a) to affirm the </w:t>
      </w:r>
      <w:r w:rsidRPr="00191E50">
        <w:t>status</w:t>
      </w:r>
      <w:r w:rsidRPr="00191E50">
        <w:rPr>
          <w:lang w:val="en-US"/>
        </w:rPr>
        <w:t xml:space="preserve"> of the Māori language as—</w:t>
      </w:r>
    </w:p>
    <w:p w14:paraId="02C010B4" w14:textId="77777777" w:rsidR="006145A3" w:rsidRPr="00191E50" w:rsidRDefault="006145A3" w:rsidP="006145A3">
      <w:pPr>
        <w:pStyle w:val="Quote"/>
      </w:pPr>
      <w:r w:rsidRPr="00191E50">
        <w:t>(i) the indigenous language of New</w:t>
      </w:r>
      <w:r>
        <w:t> </w:t>
      </w:r>
      <w:r w:rsidRPr="00191E50">
        <w:t>Zealand; and</w:t>
      </w:r>
    </w:p>
    <w:p w14:paraId="1D4D8530" w14:textId="77777777" w:rsidR="006145A3" w:rsidRPr="00191E50" w:rsidRDefault="006145A3" w:rsidP="006145A3">
      <w:pPr>
        <w:pStyle w:val="Quote"/>
      </w:pPr>
      <w:r w:rsidRPr="00191E50">
        <w:t xml:space="preserve">(ii) a </w:t>
      </w:r>
      <w:r w:rsidRPr="00E2152E">
        <w:rPr>
          <w:i w:val="0"/>
        </w:rPr>
        <w:t>taonga</w:t>
      </w:r>
      <w:r w:rsidRPr="00191E50">
        <w:t xml:space="preserve"> of </w:t>
      </w:r>
      <w:r w:rsidRPr="00E2152E">
        <w:rPr>
          <w:i w:val="0"/>
        </w:rPr>
        <w:t>iwi</w:t>
      </w:r>
      <w:r w:rsidRPr="00191E50">
        <w:t xml:space="preserve"> and Māori; and</w:t>
      </w:r>
    </w:p>
    <w:p w14:paraId="41FB33F8" w14:textId="77777777" w:rsidR="006145A3" w:rsidRPr="00191E50" w:rsidRDefault="006145A3" w:rsidP="006145A3">
      <w:pPr>
        <w:pStyle w:val="Quote"/>
      </w:pPr>
      <w:r w:rsidRPr="00191E50">
        <w:t>(iii) a language valued by the nation; and</w:t>
      </w:r>
    </w:p>
    <w:p w14:paraId="5D057E0B" w14:textId="77777777" w:rsidR="006145A3" w:rsidRPr="00191E50" w:rsidRDefault="006145A3" w:rsidP="006145A3">
      <w:pPr>
        <w:pStyle w:val="Quote"/>
      </w:pPr>
      <w:r w:rsidRPr="00191E50">
        <w:t>(</w:t>
      </w:r>
      <w:r>
        <w:t>iv) an official language of New </w:t>
      </w:r>
      <w:r w:rsidRPr="00191E50">
        <w:t>Zealand; and</w:t>
      </w:r>
    </w:p>
    <w:p w14:paraId="36C15ABE" w14:textId="77777777" w:rsidR="006145A3" w:rsidRPr="00191E50" w:rsidRDefault="006145A3" w:rsidP="006145A3">
      <w:pPr>
        <w:pStyle w:val="Quote"/>
        <w:rPr>
          <w:lang w:val="en-US"/>
        </w:rPr>
      </w:pPr>
      <w:r w:rsidRPr="00191E50">
        <w:rPr>
          <w:lang w:val="en-US"/>
        </w:rPr>
        <w:t xml:space="preserve">(b) to provide </w:t>
      </w:r>
      <w:r w:rsidRPr="00191E50">
        <w:t>means</w:t>
      </w:r>
      <w:r w:rsidRPr="00191E50">
        <w:rPr>
          <w:lang w:val="en-US"/>
        </w:rPr>
        <w:t xml:space="preserve"> to support and revitalise the Māori language.</w:t>
      </w:r>
    </w:p>
    <w:p w14:paraId="32C2F055" w14:textId="77777777" w:rsidR="006145A3" w:rsidRPr="000970B7" w:rsidRDefault="006145A3" w:rsidP="006145A3">
      <w:pPr>
        <w:pStyle w:val="Para0"/>
      </w:pPr>
      <w:r w:rsidRPr="00191E50">
        <w:t xml:space="preserve">The Act also establishes </w:t>
      </w:r>
      <w:r w:rsidRPr="00191E50">
        <w:rPr>
          <w:i/>
        </w:rPr>
        <w:t>Te Mātāwai</w:t>
      </w:r>
      <w:r w:rsidRPr="00191E50">
        <w:t xml:space="preserve">, an independent statutory authority representing </w:t>
      </w:r>
      <w:r w:rsidRPr="000B49B0">
        <w:rPr>
          <w:i/>
        </w:rPr>
        <w:t>iwi</w:t>
      </w:r>
      <w:r w:rsidRPr="00191E50">
        <w:t xml:space="preserve"> and Māori who are the </w:t>
      </w:r>
      <w:r w:rsidRPr="00E2152E">
        <w:rPr>
          <w:i/>
          <w:iCs/>
        </w:rPr>
        <w:t>kaitiaki</w:t>
      </w:r>
      <w:r>
        <w:t xml:space="preserve"> “</w:t>
      </w:r>
      <w:r w:rsidRPr="00191E50">
        <w:t>guardians, custodians</w:t>
      </w:r>
      <w:r>
        <w:t>”</w:t>
      </w:r>
      <w:r w:rsidRPr="00191E50">
        <w:t xml:space="preserve">, and how the Crown is partnering with </w:t>
      </w:r>
      <w:r w:rsidRPr="00E2152E">
        <w:rPr>
          <w:i/>
        </w:rPr>
        <w:t>Te Mātāwai</w:t>
      </w:r>
      <w:r w:rsidRPr="000970B7">
        <w:t xml:space="preserve"> in order to: </w:t>
      </w:r>
    </w:p>
    <w:p w14:paraId="7B8AC764" w14:textId="77777777" w:rsidR="006145A3" w:rsidRPr="00DE6C5F" w:rsidRDefault="006145A3" w:rsidP="006145A3">
      <w:pPr>
        <w:pStyle w:val="Quote"/>
      </w:pPr>
      <w:r w:rsidRPr="00DE6C5F">
        <w:t>develop Māori language strategies to support the revitalisation of the Māori language, including by promoting an increase in the number of people speaking the Māori language and improving their fluency in that language (Section 3).</w:t>
      </w:r>
    </w:p>
    <w:p w14:paraId="1610315B" w14:textId="77777777" w:rsidR="006145A3" w:rsidRPr="00191E50" w:rsidRDefault="006145A3" w:rsidP="006145A3">
      <w:pPr>
        <w:pStyle w:val="Para0"/>
      </w:pPr>
      <w:r w:rsidRPr="000970B7">
        <w:t xml:space="preserve">This </w:t>
      </w:r>
      <w:r w:rsidRPr="00191E50">
        <w:t xml:space="preserve">partnership is represented as a </w:t>
      </w:r>
      <w:r w:rsidRPr="00191E50">
        <w:rPr>
          <w:i/>
        </w:rPr>
        <w:t>whare</w:t>
      </w:r>
      <w:r w:rsidRPr="00191E50">
        <w:t xml:space="preserve"> (a traditional Māori communal house), each partner providing one side of the structure. The </w:t>
      </w:r>
      <w:r w:rsidRPr="00191E50">
        <w:rPr>
          <w:i/>
        </w:rPr>
        <w:t>maihi</w:t>
      </w:r>
      <w:r w:rsidRPr="00191E50">
        <w:t xml:space="preserve"> (the barge boards at the front of the house that support each side of the roof) represent the different strategies generated by the Crown and </w:t>
      </w:r>
      <w:r w:rsidRPr="004F1654">
        <w:rPr>
          <w:i/>
        </w:rPr>
        <w:t>Te Mātāwai</w:t>
      </w:r>
      <w:r w:rsidRPr="00191E50">
        <w:t xml:space="preserve">: Maihi Māori which is driven by Māori and Māori-run organisations, and </w:t>
      </w:r>
      <w:r w:rsidRPr="004F1654">
        <w:rPr>
          <w:i/>
        </w:rPr>
        <w:t>Maihi Karauna</w:t>
      </w:r>
      <w:r w:rsidRPr="00191E50">
        <w:t xml:space="preserve"> which is driven by the government.</w:t>
      </w:r>
    </w:p>
    <w:p w14:paraId="06422470" w14:textId="3389170E" w:rsidR="006145A3" w:rsidRDefault="006145A3" w:rsidP="006145A3">
      <w:pPr>
        <w:pStyle w:val="Para0"/>
      </w:pPr>
      <w:r>
        <w:t>T</w:t>
      </w:r>
      <w:r w:rsidRPr="00191E50">
        <w:t xml:space="preserve">he self-governing state of the Cook Islands </w:t>
      </w:r>
      <w:r w:rsidRPr="000970B7">
        <w:t xml:space="preserve">(Rarotonga) </w:t>
      </w:r>
      <w:r>
        <w:t>established</w:t>
      </w:r>
      <w:r w:rsidRPr="00191E50">
        <w:t xml:space="preserve"> </w:t>
      </w:r>
      <w:r w:rsidR="00802DDB">
        <w:t xml:space="preserve">Te Reo Kuki Airani </w:t>
      </w:r>
      <w:r>
        <w:t xml:space="preserve">and </w:t>
      </w:r>
      <w:r w:rsidRPr="00191E50">
        <w:t>English</w:t>
      </w:r>
      <w:r>
        <w:t xml:space="preserve"> as official languages</w:t>
      </w:r>
      <w:r w:rsidRPr="00191E50">
        <w:t xml:space="preserve">, through the </w:t>
      </w:r>
      <w:r w:rsidRPr="00E262E9">
        <w:rPr>
          <w:iCs/>
        </w:rPr>
        <w:t>Te Reo Māori Act</w:t>
      </w:r>
      <w:r w:rsidRPr="00191E50">
        <w:t xml:space="preserve"> 2003</w:t>
      </w:r>
      <w:r w:rsidRPr="00191E50">
        <w:rPr>
          <w:lang w:val="en-US"/>
        </w:rPr>
        <w:t xml:space="preserve">. The self-governing state of Niue recognised </w:t>
      </w:r>
      <w:r w:rsidR="00802DDB">
        <w:rPr>
          <w:lang w:val="en-US"/>
        </w:rPr>
        <w:t>v</w:t>
      </w:r>
      <w:r w:rsidRPr="00191E50">
        <w:rPr>
          <w:lang w:val="en-US"/>
        </w:rPr>
        <w:t>agahau Niue as the official language of Niue in 2012</w:t>
      </w:r>
      <w:r>
        <w:rPr>
          <w:lang w:val="en-US"/>
        </w:rPr>
        <w:t xml:space="preserve"> through </w:t>
      </w:r>
      <w:r>
        <w:t xml:space="preserve">the </w:t>
      </w:r>
      <w:r w:rsidRPr="00802DDB">
        <w:rPr>
          <w:i/>
        </w:rPr>
        <w:t>Vagahau Niue Act</w:t>
      </w:r>
      <w:r w:rsidRPr="00E262E9">
        <w:t xml:space="preserve"> 2012</w:t>
      </w:r>
      <w:r w:rsidRPr="00191E50">
        <w:rPr>
          <w:lang w:val="en-US"/>
        </w:rPr>
        <w:t>. The non-self-governing territory of Tokelau has</w:t>
      </w:r>
      <w:r w:rsidRPr="00191E50">
        <w:t xml:space="preserve"> </w:t>
      </w:r>
      <w:r w:rsidR="00802DDB">
        <w:t>gagana Tokelau (</w:t>
      </w:r>
      <w:r w:rsidRPr="00191E50">
        <w:t>Tokelauan</w:t>
      </w:r>
      <w:r w:rsidR="00802DDB">
        <w:t>)</w:t>
      </w:r>
      <w:r w:rsidRPr="00191E50">
        <w:t xml:space="preserve"> as an official language</w:t>
      </w:r>
      <w:r>
        <w:t xml:space="preserve">, although again, </w:t>
      </w:r>
      <w:r w:rsidRPr="00F326FF">
        <w:rPr>
          <w:lang w:val="en-US"/>
        </w:rPr>
        <w:t>English is also widely used</w:t>
      </w:r>
      <w:r w:rsidRPr="00191E50">
        <w:t xml:space="preserve">. </w:t>
      </w:r>
    </w:p>
    <w:p w14:paraId="327C8EE4" w14:textId="0242E62E" w:rsidR="006145A3" w:rsidRPr="00CF6532" w:rsidRDefault="00802DDB" w:rsidP="006145A3">
      <w:pPr>
        <w:pStyle w:val="Para0"/>
      </w:pPr>
      <w:r>
        <w:t xml:space="preserve">A challenge for all thre Realm of New Zealand communities and for other Pasifica peoples is the maintenance of their languages in Aotearoa New Zealand itself. </w:t>
      </w:r>
      <w:r w:rsidR="006145A3" w:rsidRPr="00191E50">
        <w:t>Given t</w:t>
      </w:r>
      <w:r w:rsidR="006145A3">
        <w:t xml:space="preserve">he large number of Realm of </w:t>
      </w:r>
      <w:r w:rsidR="006145A3">
        <w:lastRenderedPageBreak/>
        <w:t>New </w:t>
      </w:r>
      <w:r w:rsidR="006145A3" w:rsidRPr="00191E50">
        <w:t>Zealand people</w:t>
      </w:r>
      <w:r w:rsidR="006145A3">
        <w:t>s</w:t>
      </w:r>
      <w:r w:rsidR="006145A3" w:rsidRPr="00191E50">
        <w:t xml:space="preserve"> living in the main islands of New</w:t>
      </w:r>
      <w:r w:rsidR="006145A3">
        <w:t> </w:t>
      </w:r>
      <w:r w:rsidR="006145A3" w:rsidRPr="00191E50">
        <w:t>Zealand, the government of Aotearoa New</w:t>
      </w:r>
      <w:r w:rsidR="006145A3">
        <w:t> </w:t>
      </w:r>
      <w:r w:rsidR="006145A3" w:rsidRPr="00191E50">
        <w:t xml:space="preserve">Zealand </w:t>
      </w:r>
      <w:r w:rsidR="006145A3">
        <w:t xml:space="preserve">has launched various funds to support and value </w:t>
      </w:r>
      <w:r w:rsidR="006145A3" w:rsidRPr="00CF6532">
        <w:t>Pacific languages in Aotearoa.</w:t>
      </w:r>
      <w:r w:rsidR="006145A3">
        <w:t xml:space="preserve"> In 2021, the Government launched a </w:t>
      </w:r>
      <w:r w:rsidR="006145A3" w:rsidRPr="00CF6532">
        <w:t>Community Languages Fund</w:t>
      </w:r>
      <w:r w:rsidR="006145A3">
        <w:t xml:space="preserve"> to support </w:t>
      </w:r>
      <w:r w:rsidR="006145A3" w:rsidRPr="00CF6532">
        <w:t>community groups</w:t>
      </w:r>
      <w:r w:rsidR="006145A3">
        <w:t xml:space="preserve"> “</w:t>
      </w:r>
      <w:r w:rsidR="006145A3" w:rsidRPr="00CF6532">
        <w:t>to deliver grassroots language initiatives to Pacific communities and families</w:t>
      </w:r>
      <w:r w:rsidR="006145A3">
        <w:t>”.</w:t>
      </w:r>
    </w:p>
    <w:p w14:paraId="6F828F20" w14:textId="77777777" w:rsidR="006145A3" w:rsidRPr="00DE6C5F" w:rsidRDefault="006145A3" w:rsidP="006145A3">
      <w:pPr>
        <w:pStyle w:val="Quote"/>
      </w:pPr>
      <w:r w:rsidRPr="009B13C7">
        <w:rPr>
          <w:rStyle w:val="QuoteChar"/>
          <w:rFonts w:ascii="Times New Roman" w:hAnsi="Times New Roman" w:cs="Times New Roman"/>
          <w:i/>
          <w:iCs/>
          <w:sz w:val="22"/>
        </w:rPr>
        <w:t>“</w:t>
      </w:r>
      <w:r w:rsidRPr="00DE6C5F">
        <w:t>Language is the key to the wellbeing for Pacific people. It affirms our identity as Pasifika and strengthens our communities.”</w:t>
      </w:r>
    </w:p>
    <w:p w14:paraId="7EB9B7B5" w14:textId="77777777" w:rsidR="006145A3" w:rsidRPr="00DE6C5F" w:rsidRDefault="006145A3" w:rsidP="006145A3">
      <w:pPr>
        <w:pStyle w:val="Quote"/>
      </w:pPr>
      <w:r w:rsidRPr="00DE6C5F">
        <w:t>“Language is one of the pillars of our identity. The Government believes Pacific languages de</w:t>
      </w:r>
      <w:r>
        <w:t>serve to thrive in Aotearoa New </w:t>
      </w:r>
      <w:r w:rsidRPr="00DE6C5F">
        <w:t>Zealand.”</w:t>
      </w:r>
    </w:p>
    <w:p w14:paraId="35C988F9" w14:textId="38CC2F28" w:rsidR="006145A3" w:rsidRPr="00DE6C5F" w:rsidRDefault="008D0BBE" w:rsidP="006145A3">
      <w:pPr>
        <w:pStyle w:val="Quote"/>
      </w:pPr>
      <w:sdt>
        <w:sdtPr>
          <w:id w:val="-835682879"/>
          <w:citation/>
        </w:sdtPr>
        <w:sdtEndPr/>
        <w:sdtContent>
          <w:r w:rsidR="00176119">
            <w:fldChar w:fldCharType="begin"/>
          </w:r>
          <w:r w:rsidR="00176119">
            <w:instrText xml:space="preserve"> CITATION Min21 \l 2057 </w:instrText>
          </w:r>
          <w:r w:rsidR="00176119">
            <w:fldChar w:fldCharType="separate"/>
          </w:r>
          <w:r w:rsidR="00176119" w:rsidRPr="00176119">
            <w:rPr>
              <w:noProof/>
            </w:rPr>
            <w:t>(</w:t>
          </w:r>
          <w:bookmarkStart w:id="115" w:name="Min21_66"/>
          <w:r w:rsidR="00176119" w:rsidRPr="00176119">
            <w:rPr>
              <w:noProof/>
            </w:rPr>
            <w:t>Minister of Pacific Peoples, 2021</w:t>
          </w:r>
          <w:r w:rsidR="00176119" w:rsidRPr="00176119">
            <w:rPr>
              <w:noProof/>
              <w:vertAlign w:val="subscript"/>
            </w:rPr>
            <w:t>[66]</w:t>
          </w:r>
          <w:r w:rsidR="00176119" w:rsidRPr="00176119">
            <w:rPr>
              <w:noProof/>
            </w:rPr>
            <w:t>)</w:t>
          </w:r>
          <w:bookmarkEnd w:id="115"/>
          <w:r w:rsidR="00176119">
            <w:fldChar w:fldCharType="end"/>
          </w:r>
        </w:sdtContent>
      </w:sdt>
      <w:r w:rsidR="006145A3" w:rsidRPr="00DE6C5F">
        <w:t>, Pacific Languages funding re-opens, Press release, Gov</w:t>
      </w:r>
      <w:r w:rsidR="006145A3">
        <w:t>ernment of Aotearoa New Zealand</w:t>
      </w:r>
    </w:p>
    <w:p w14:paraId="0F9899CB" w14:textId="77777777" w:rsidR="006145A3" w:rsidRDefault="006145A3" w:rsidP="006145A3">
      <w:pPr>
        <w:pStyle w:val="Heading3"/>
        <w:numPr>
          <w:ilvl w:val="2"/>
          <w:numId w:val="22"/>
        </w:numPr>
      </w:pPr>
      <w:bookmarkStart w:id="116" w:name="_Toc32138018"/>
      <w:bookmarkEnd w:id="116"/>
      <w:r w:rsidRPr="00DE6C5F">
        <w:t>Strategies</w:t>
      </w:r>
    </w:p>
    <w:p w14:paraId="6C50B259" w14:textId="77777777" w:rsidR="006145A3" w:rsidRDefault="006145A3" w:rsidP="006145A3">
      <w:pPr>
        <w:pStyle w:val="Para0"/>
      </w:pPr>
      <w:r>
        <w:t>In</w:t>
      </w:r>
      <w:r w:rsidRPr="00FE3C71">
        <w:t xml:space="preserve"> 2016</w:t>
      </w:r>
      <w:r>
        <w:t>,</w:t>
      </w:r>
      <w:r w:rsidRPr="00FE3C71">
        <w:t xml:space="preserve"> </w:t>
      </w:r>
      <w:r w:rsidRPr="00104034">
        <w:rPr>
          <w:i/>
        </w:rPr>
        <w:t>Te Ture mō te Reo</w:t>
      </w:r>
      <w:r w:rsidRPr="00FE3C71">
        <w:t xml:space="preserve"> (</w:t>
      </w:r>
      <w:r>
        <w:t>the Maori Language</w:t>
      </w:r>
      <w:r w:rsidRPr="00FE3C71">
        <w:t xml:space="preserve"> Act) recognised </w:t>
      </w:r>
      <w:r>
        <w:t>dual roles of</w:t>
      </w:r>
      <w:r w:rsidRPr="00FE3C71">
        <w:t xml:space="preserve"> Māori</w:t>
      </w:r>
      <w:r>
        <w:t xml:space="preserve"> and the Government – with </w:t>
      </w:r>
      <w:r w:rsidRPr="00104034">
        <w:rPr>
          <w:i/>
        </w:rPr>
        <w:t>iwi</w:t>
      </w:r>
      <w:r w:rsidRPr="00FE3C71">
        <w:t xml:space="preserve"> and Māori </w:t>
      </w:r>
      <w:r>
        <w:t>the</w:t>
      </w:r>
      <w:r w:rsidRPr="00FE3C71">
        <w:t xml:space="preserve"> </w:t>
      </w:r>
      <w:r w:rsidRPr="00104034">
        <w:rPr>
          <w:i/>
        </w:rPr>
        <w:t>kaitiaki</w:t>
      </w:r>
      <w:r w:rsidRPr="00FE3C71">
        <w:t xml:space="preserve"> </w:t>
      </w:r>
      <w:r>
        <w:t xml:space="preserve">(guardians) </w:t>
      </w:r>
      <w:r w:rsidRPr="00FE3C71">
        <w:t xml:space="preserve">of </w:t>
      </w:r>
      <w:r w:rsidRPr="00FE3C71">
        <w:rPr>
          <w:i/>
          <w:iCs/>
        </w:rPr>
        <w:t>te reo Māori</w:t>
      </w:r>
      <w:r w:rsidRPr="00FE3C71">
        <w:t xml:space="preserve">, </w:t>
      </w:r>
      <w:r>
        <w:t xml:space="preserve">and </w:t>
      </w:r>
      <w:r w:rsidRPr="00FE3C71">
        <w:t xml:space="preserve">the Crown </w:t>
      </w:r>
      <w:r>
        <w:t>(through the Government) having</w:t>
      </w:r>
      <w:r w:rsidRPr="00FE3C71">
        <w:t xml:space="preserve"> complementary roles in the revitalisation of </w:t>
      </w:r>
      <w:r w:rsidRPr="00DC5D50">
        <w:rPr>
          <w:i/>
          <w:iCs/>
        </w:rPr>
        <w:t>te reo Māori</w:t>
      </w:r>
      <w:r w:rsidRPr="00FE3C71">
        <w:t>.</w:t>
      </w:r>
    </w:p>
    <w:p w14:paraId="6ED6E39C" w14:textId="77777777" w:rsidR="006145A3" w:rsidRDefault="006145A3" w:rsidP="006145A3">
      <w:pPr>
        <w:pStyle w:val="Para0"/>
      </w:pPr>
      <w:r w:rsidRPr="00DC5D50">
        <w:rPr>
          <w:i/>
          <w:iCs/>
        </w:rPr>
        <w:t xml:space="preserve">Maihi </w:t>
      </w:r>
      <w:r w:rsidRPr="00EC56FC">
        <w:rPr>
          <w:i/>
          <w:iCs/>
        </w:rPr>
        <w:t>Māori 2017–2040</w:t>
      </w:r>
      <w:r>
        <w:t xml:space="preserve"> </w:t>
      </w:r>
      <w:r w:rsidRPr="00DC5D50">
        <w:t xml:space="preserve">is the language </w:t>
      </w:r>
      <w:r>
        <w:t xml:space="preserve">revitalisation </w:t>
      </w:r>
      <w:r w:rsidRPr="00DC5D50">
        <w:t xml:space="preserve">strategy developed by </w:t>
      </w:r>
      <w:r w:rsidRPr="00104034">
        <w:rPr>
          <w:i/>
        </w:rPr>
        <w:t>iwi</w:t>
      </w:r>
      <w:r w:rsidRPr="00DC5D50">
        <w:t xml:space="preserve"> and Māori</w:t>
      </w:r>
      <w:r>
        <w:t>,</w:t>
      </w:r>
      <w:r w:rsidRPr="00DC5D50">
        <w:t xml:space="preserve"> focus</w:t>
      </w:r>
      <w:r>
        <w:t>ing</w:t>
      </w:r>
      <w:r w:rsidRPr="00DC5D50">
        <w:t xml:space="preserve"> on revitalis</w:t>
      </w:r>
      <w:r>
        <w:t>ing</w:t>
      </w:r>
      <w:r w:rsidRPr="00DC5D50">
        <w:t xml:space="preserve"> </w:t>
      </w:r>
      <w:r w:rsidRPr="00ED7867">
        <w:rPr>
          <w:i/>
          <w:iCs/>
        </w:rPr>
        <w:t>te reo Māori</w:t>
      </w:r>
      <w:r w:rsidRPr="00DC5D50">
        <w:t xml:space="preserve"> within communities and </w:t>
      </w:r>
      <w:r w:rsidRPr="00104034">
        <w:rPr>
          <w:i/>
        </w:rPr>
        <w:t>whānau</w:t>
      </w:r>
      <w:r w:rsidRPr="00DC5D50">
        <w:t xml:space="preserve">. </w:t>
      </w:r>
      <w:r w:rsidRPr="00EC56FC">
        <w:rPr>
          <w:i/>
          <w:iCs/>
        </w:rPr>
        <w:t>Maihi Karauna 2018–2023</w:t>
      </w:r>
      <w:r>
        <w:t xml:space="preserve"> </w:t>
      </w:r>
      <w:r w:rsidRPr="00DC5D50">
        <w:t>is the Crown’s strategy for revitalis</w:t>
      </w:r>
      <w:r>
        <w:t>ing</w:t>
      </w:r>
      <w:r w:rsidRPr="00DC5D50">
        <w:t xml:space="preserve"> </w:t>
      </w:r>
      <w:r w:rsidRPr="00ED7867">
        <w:rPr>
          <w:i/>
          <w:iCs/>
        </w:rPr>
        <w:t>te reo Māori</w:t>
      </w:r>
      <w:r>
        <w:t>,</w:t>
      </w:r>
      <w:r w:rsidRPr="00DC5D50">
        <w:t xml:space="preserve"> outlin</w:t>
      </w:r>
      <w:r>
        <w:t>ing</w:t>
      </w:r>
      <w:r w:rsidRPr="00DC5D50">
        <w:t xml:space="preserve"> the </w:t>
      </w:r>
      <w:r>
        <w:t>G</w:t>
      </w:r>
      <w:r w:rsidRPr="00DC5D50">
        <w:t>overnment</w:t>
      </w:r>
      <w:r>
        <w:t>’s</w:t>
      </w:r>
      <w:r w:rsidRPr="00DC5D50">
        <w:t xml:space="preserve"> prioritise over the next five years to create the societal conditions for </w:t>
      </w:r>
      <w:r w:rsidRPr="00ED7867">
        <w:rPr>
          <w:i/>
          <w:iCs/>
        </w:rPr>
        <w:t>te reo Māori</w:t>
      </w:r>
      <w:r w:rsidRPr="00DC5D50">
        <w:t xml:space="preserve"> to thrive as a living language</w:t>
      </w:r>
      <w:r>
        <w:t xml:space="preserve"> (</w:t>
      </w:r>
      <w:r w:rsidRPr="005C35BB">
        <w:t>Te Puni Kōkiri, 2019</w:t>
      </w:r>
      <w:r>
        <w:t>)</w:t>
      </w:r>
    </w:p>
    <w:p w14:paraId="44E6CB70" w14:textId="77777777" w:rsidR="006145A3" w:rsidRPr="00C40E4C" w:rsidRDefault="006145A3" w:rsidP="006145A3">
      <w:pPr>
        <w:pStyle w:val="Heading4"/>
        <w:numPr>
          <w:ilvl w:val="3"/>
          <w:numId w:val="22"/>
        </w:numPr>
        <w:rPr>
          <w:lang w:val="en-US"/>
        </w:rPr>
      </w:pPr>
      <w:r w:rsidRPr="00C40E4C">
        <w:rPr>
          <w:lang w:val="en-US"/>
        </w:rPr>
        <w:t xml:space="preserve">The </w:t>
      </w:r>
      <w:r w:rsidRPr="00DE6C5F">
        <w:t>Māori</w:t>
      </w:r>
      <w:r w:rsidRPr="00C40E4C">
        <w:rPr>
          <w:lang w:val="en-US"/>
        </w:rPr>
        <w:t xml:space="preserve"> strategy: Maihi Māori </w:t>
      </w:r>
    </w:p>
    <w:p w14:paraId="65175397" w14:textId="0E03AB16" w:rsidR="006145A3" w:rsidRPr="000970B7" w:rsidRDefault="006145A3" w:rsidP="006145A3">
      <w:pPr>
        <w:pStyle w:val="Para0"/>
      </w:pPr>
      <w:r w:rsidRPr="00104034">
        <w:rPr>
          <w:i/>
        </w:rPr>
        <w:t>Te Ture mō te Reo</w:t>
      </w:r>
      <w:r w:rsidRPr="00FE3C71">
        <w:t xml:space="preserve"> established </w:t>
      </w:r>
      <w:r w:rsidRPr="00104034">
        <w:rPr>
          <w:i/>
        </w:rPr>
        <w:t>Te Mātāwai</w:t>
      </w:r>
      <w:r w:rsidRPr="00FE3C71">
        <w:t xml:space="preserve"> as a representative for </w:t>
      </w:r>
      <w:r w:rsidRPr="00104034">
        <w:rPr>
          <w:i/>
        </w:rPr>
        <w:t>iwi</w:t>
      </w:r>
      <w:r w:rsidRPr="00FE3C71">
        <w:t xml:space="preserve">, </w:t>
      </w:r>
      <w:r w:rsidRPr="00104034">
        <w:rPr>
          <w:i/>
        </w:rPr>
        <w:t>hapū</w:t>
      </w:r>
      <w:r w:rsidRPr="00FE3C71">
        <w:t xml:space="preserve"> and </w:t>
      </w:r>
      <w:r w:rsidRPr="00104034">
        <w:rPr>
          <w:i/>
        </w:rPr>
        <w:t>whānau</w:t>
      </w:r>
      <w:r w:rsidRPr="00FE3C71">
        <w:t xml:space="preserve"> in relation to the revitalisation of </w:t>
      </w:r>
      <w:r w:rsidRPr="00104034">
        <w:rPr>
          <w:i/>
        </w:rPr>
        <w:t>te reo Māori</w:t>
      </w:r>
      <w:r w:rsidRPr="00FE3C71">
        <w:t xml:space="preserve">. </w:t>
      </w:r>
      <w:r w:rsidRPr="000970B7">
        <w:t xml:space="preserve">The </w:t>
      </w:r>
      <w:r w:rsidRPr="00104034">
        <w:rPr>
          <w:i/>
        </w:rPr>
        <w:t>Te Mātāwai</w:t>
      </w:r>
      <w:r w:rsidRPr="000970B7">
        <w:t xml:space="preserve"> board focuses on </w:t>
      </w:r>
      <w:r w:rsidRPr="00191E50">
        <w:t xml:space="preserve">homes, communities and the nurturing of Māori children as first language speakers of </w:t>
      </w:r>
      <w:r w:rsidRPr="00A9006F">
        <w:rPr>
          <w:i/>
          <w:iCs/>
        </w:rPr>
        <w:t>te reo Māori</w:t>
      </w:r>
      <w:r w:rsidRPr="00191E50">
        <w:t>. In 2017</w:t>
      </w:r>
      <w:r>
        <w:t>,</w:t>
      </w:r>
      <w:r w:rsidRPr="00191E50">
        <w:t xml:space="preserve"> </w:t>
      </w:r>
      <w:r w:rsidRPr="00104034">
        <w:rPr>
          <w:i/>
        </w:rPr>
        <w:t>Te Mātāwai</w:t>
      </w:r>
      <w:r w:rsidRPr="00FE3C71">
        <w:t xml:space="preserve"> </w:t>
      </w:r>
      <w:r w:rsidRPr="00191E50">
        <w:t xml:space="preserve">published </w:t>
      </w:r>
      <w:r w:rsidRPr="00ED7867">
        <w:rPr>
          <w:i/>
          <w:iCs/>
        </w:rPr>
        <w:t>Maihi Māori 2017-2040</w:t>
      </w:r>
      <w:r w:rsidRPr="00191E50">
        <w:t xml:space="preserve"> </w:t>
      </w:r>
      <w:sdt>
        <w:sdtPr>
          <w:id w:val="142010586"/>
          <w:citation/>
        </w:sdtPr>
        <w:sdtEndPr/>
        <w:sdtContent>
          <w:r w:rsidR="009947CD">
            <w:fldChar w:fldCharType="begin"/>
          </w:r>
          <w:r w:rsidR="009947CD">
            <w:instrText xml:space="preserve">CITATION TeM17 \l 2057 </w:instrText>
          </w:r>
          <w:r w:rsidR="009947CD">
            <w:fldChar w:fldCharType="separate"/>
          </w:r>
          <w:r w:rsidR="009947CD" w:rsidRPr="009947CD">
            <w:rPr>
              <w:noProof/>
            </w:rPr>
            <w:t>(</w:t>
          </w:r>
          <w:bookmarkStart w:id="117" w:name="TeM17_67"/>
          <w:r w:rsidR="009947CD" w:rsidRPr="009947CD">
            <w:rPr>
              <w:noProof/>
            </w:rPr>
            <w:t>Te Mātāwai, 2017</w:t>
          </w:r>
          <w:r w:rsidR="009947CD" w:rsidRPr="009947CD">
            <w:rPr>
              <w:noProof/>
              <w:vertAlign w:val="subscript"/>
            </w:rPr>
            <w:t>[67]</w:t>
          </w:r>
          <w:r w:rsidR="009947CD" w:rsidRPr="009947CD">
            <w:rPr>
              <w:noProof/>
            </w:rPr>
            <w:t>)</w:t>
          </w:r>
          <w:bookmarkEnd w:id="117"/>
          <w:r w:rsidR="009947CD">
            <w:fldChar w:fldCharType="end"/>
          </w:r>
        </w:sdtContent>
      </w:sdt>
      <w:r>
        <w:t>, with</w:t>
      </w:r>
      <w:r w:rsidRPr="00191E50">
        <w:t xml:space="preserve"> </w:t>
      </w:r>
      <w:r>
        <w:t>k</w:t>
      </w:r>
      <w:r w:rsidRPr="00191E50">
        <w:t xml:space="preserve">ey goals </w:t>
      </w:r>
      <w:r>
        <w:t xml:space="preserve">focused on </w:t>
      </w:r>
      <w:r w:rsidRPr="00191E50">
        <w:t>strengthening the language in everyday use, and intergenerational transmission</w:t>
      </w:r>
      <w:r w:rsidRPr="000970B7">
        <w:t>:</w:t>
      </w:r>
    </w:p>
    <w:p w14:paraId="4AEEA1C5" w14:textId="77777777" w:rsidR="006145A3" w:rsidRPr="00DE6C5F" w:rsidRDefault="006145A3" w:rsidP="006145A3">
      <w:pPr>
        <w:pStyle w:val="BulletedList"/>
      </w:pPr>
      <w:r w:rsidRPr="00DE6C5F">
        <w:t xml:space="preserve">a community wide target of one million (or more) people using </w:t>
      </w:r>
      <w:r w:rsidRPr="00104034">
        <w:rPr>
          <w:i/>
        </w:rPr>
        <w:t>te reo Māori</w:t>
      </w:r>
      <w:r w:rsidRPr="00DE6C5F">
        <w:t xml:space="preserve"> in community immersion settings; and </w:t>
      </w:r>
    </w:p>
    <w:p w14:paraId="3FC0DB35" w14:textId="78949C3F" w:rsidR="006145A3" w:rsidRPr="00DE6C5F" w:rsidRDefault="00802DDB" w:rsidP="006145A3">
      <w:pPr>
        <w:pStyle w:val="BulletedList"/>
      </w:pPr>
      <w:r>
        <w:t>a child-</w:t>
      </w:r>
      <w:r w:rsidR="006145A3" w:rsidRPr="00DE6C5F">
        <w:t xml:space="preserve">focused target that </w:t>
      </w:r>
      <w:r w:rsidR="006145A3" w:rsidRPr="00104034">
        <w:rPr>
          <w:i/>
        </w:rPr>
        <w:t>te reo Māori</w:t>
      </w:r>
      <w:r w:rsidR="006145A3">
        <w:t xml:space="preserve"> will be the mother tongue</w:t>
      </w:r>
      <w:r w:rsidR="006145A3" w:rsidRPr="00DE6C5F">
        <w:t xml:space="preserve">/first language of </w:t>
      </w:r>
      <w:r w:rsidR="006145A3">
        <w:t>25% of all Māori children (aged </w:t>
      </w:r>
      <w:r w:rsidR="006145A3" w:rsidRPr="00DE6C5F">
        <w:t xml:space="preserve">0-7). </w:t>
      </w:r>
    </w:p>
    <w:p w14:paraId="64A65585" w14:textId="77777777" w:rsidR="006145A3" w:rsidRPr="000970B7" w:rsidRDefault="006145A3" w:rsidP="006145A3">
      <w:pPr>
        <w:pStyle w:val="Para0"/>
      </w:pPr>
      <w:r w:rsidRPr="000970B7">
        <w:t xml:space="preserve">This strategy recognises that some people are entering as new learners, others have engaged already but need encouragement and extension and others need support to maintain their first language: </w:t>
      </w:r>
    </w:p>
    <w:p w14:paraId="5C2BC447" w14:textId="77777777" w:rsidR="006145A3" w:rsidRPr="00DE6C5F" w:rsidRDefault="006145A3" w:rsidP="006145A3">
      <w:pPr>
        <w:pStyle w:val="Quote"/>
      </w:pPr>
      <w:r w:rsidRPr="00DE6C5F">
        <w:t>[…] the stages users will encounter as they enter or begin their language journey, culminating in an engaged state that will see them begin to pass on the language to future generations.</w:t>
      </w:r>
    </w:p>
    <w:p w14:paraId="1615C664" w14:textId="06FF48F8" w:rsidR="006145A3" w:rsidRPr="000970B7" w:rsidRDefault="006145A3" w:rsidP="006145A3">
      <w:pPr>
        <w:pStyle w:val="Para0"/>
      </w:pPr>
      <w:r w:rsidRPr="000970B7">
        <w:t>Each of t</w:t>
      </w:r>
      <w:r w:rsidR="00802DDB">
        <w:t>hese stages, Awakened, Engaging and</w:t>
      </w:r>
      <w:r w:rsidRPr="000970B7">
        <w:t xml:space="preserve"> Transmitting, has its own set of indicators:</w:t>
      </w:r>
    </w:p>
    <w:p w14:paraId="5C68A1B3" w14:textId="77777777" w:rsidR="006145A3" w:rsidRPr="00DE6C5F" w:rsidRDefault="006145A3" w:rsidP="006145A3">
      <w:pPr>
        <w:pStyle w:val="BulletedList"/>
      </w:pPr>
      <w:r w:rsidRPr="00DE6C5F">
        <w:t xml:space="preserve">Awakened </w:t>
      </w:r>
      <w:r w:rsidRPr="00104034">
        <w:rPr>
          <w:i/>
        </w:rPr>
        <w:t>te reo Māori</w:t>
      </w:r>
      <w:r w:rsidRPr="00DE6C5F">
        <w:t>/revitalisation will mean:</w:t>
      </w:r>
    </w:p>
    <w:p w14:paraId="351032C9" w14:textId="77777777" w:rsidR="006145A3" w:rsidRPr="00DE6C5F" w:rsidRDefault="006145A3" w:rsidP="006145A3">
      <w:pPr>
        <w:pStyle w:val="BulletedList"/>
        <w:numPr>
          <w:ilvl w:val="1"/>
          <w:numId w:val="24"/>
        </w:numPr>
      </w:pPr>
      <w:r w:rsidRPr="00DE6C5F">
        <w:t xml:space="preserve">Increases in the number of </w:t>
      </w:r>
      <w:r w:rsidRPr="00104034">
        <w:rPr>
          <w:i/>
        </w:rPr>
        <w:t>whanau</w:t>
      </w:r>
      <w:r w:rsidRPr="00DE6C5F">
        <w:t xml:space="preserve"> members commencing </w:t>
      </w:r>
      <w:r w:rsidRPr="00104034">
        <w:rPr>
          <w:i/>
        </w:rPr>
        <w:t>te reo Māori</w:t>
      </w:r>
      <w:r w:rsidRPr="00DE6C5F">
        <w:t xml:space="preserve"> journey</w:t>
      </w:r>
    </w:p>
    <w:p w14:paraId="49790BEE" w14:textId="77777777" w:rsidR="006145A3" w:rsidRPr="00DE6C5F" w:rsidRDefault="006145A3" w:rsidP="006145A3">
      <w:pPr>
        <w:pStyle w:val="BulletedList"/>
        <w:numPr>
          <w:ilvl w:val="1"/>
          <w:numId w:val="24"/>
        </w:numPr>
      </w:pPr>
      <w:r w:rsidRPr="00DE6C5F">
        <w:t xml:space="preserve">Increases in the number of </w:t>
      </w:r>
      <w:r w:rsidRPr="00104034">
        <w:rPr>
          <w:i/>
        </w:rPr>
        <w:t>te reo Māori</w:t>
      </w:r>
      <w:r w:rsidRPr="00DE6C5F">
        <w:t xml:space="preserve"> immersion opportunities targeting </w:t>
      </w:r>
      <w:r w:rsidRPr="00104034">
        <w:rPr>
          <w:i/>
        </w:rPr>
        <w:t>whanau</w:t>
      </w:r>
    </w:p>
    <w:p w14:paraId="43CB8B2B" w14:textId="77777777" w:rsidR="006145A3" w:rsidRPr="00DE6C5F" w:rsidRDefault="006145A3" w:rsidP="006145A3">
      <w:pPr>
        <w:pStyle w:val="BulletedList"/>
        <w:numPr>
          <w:ilvl w:val="1"/>
          <w:numId w:val="24"/>
        </w:numPr>
      </w:pPr>
      <w:r w:rsidRPr="00DE6C5F">
        <w:t>Increases in the number of Māori with strengthened cultural identity and affiliations</w:t>
      </w:r>
    </w:p>
    <w:p w14:paraId="72A6C510" w14:textId="77777777" w:rsidR="006145A3" w:rsidRPr="00DE6C5F" w:rsidRDefault="006145A3" w:rsidP="006145A3">
      <w:pPr>
        <w:pStyle w:val="BulletedList"/>
      </w:pPr>
      <w:r w:rsidRPr="00DE6C5F">
        <w:t xml:space="preserve">Engaging in </w:t>
      </w:r>
      <w:r w:rsidRPr="00104034">
        <w:rPr>
          <w:i/>
        </w:rPr>
        <w:t>te reo Māori</w:t>
      </w:r>
      <w:r w:rsidRPr="00DE6C5F">
        <w:t>/revitalisation will mean:</w:t>
      </w:r>
    </w:p>
    <w:p w14:paraId="02E2EBDB" w14:textId="77777777" w:rsidR="006145A3" w:rsidRPr="00DE6C5F" w:rsidRDefault="006145A3" w:rsidP="006145A3">
      <w:pPr>
        <w:pStyle w:val="BulletedList"/>
        <w:numPr>
          <w:ilvl w:val="1"/>
          <w:numId w:val="24"/>
        </w:numPr>
      </w:pPr>
      <w:r w:rsidRPr="00DE6C5F">
        <w:t xml:space="preserve">Increases in the number of </w:t>
      </w:r>
      <w:r w:rsidRPr="00104034">
        <w:rPr>
          <w:i/>
        </w:rPr>
        <w:t>whanau</w:t>
      </w:r>
      <w:r w:rsidRPr="00DE6C5F">
        <w:t xml:space="preserve"> engaging in immersion opportunities</w:t>
      </w:r>
    </w:p>
    <w:p w14:paraId="567ED98B" w14:textId="77777777" w:rsidR="006145A3" w:rsidRPr="00DE6C5F" w:rsidRDefault="006145A3" w:rsidP="006145A3">
      <w:pPr>
        <w:pStyle w:val="BulletedList"/>
        <w:numPr>
          <w:ilvl w:val="1"/>
          <w:numId w:val="24"/>
        </w:numPr>
      </w:pPr>
      <w:r w:rsidRPr="00DE6C5F">
        <w:t xml:space="preserve">Increases in </w:t>
      </w:r>
      <w:r w:rsidRPr="00104034">
        <w:rPr>
          <w:i/>
        </w:rPr>
        <w:t>te reo Māori</w:t>
      </w:r>
      <w:r w:rsidRPr="00DE6C5F">
        <w:t xml:space="preserve"> usage in the home and community</w:t>
      </w:r>
    </w:p>
    <w:p w14:paraId="5B6C910C" w14:textId="77777777" w:rsidR="006145A3" w:rsidRPr="00DE6C5F" w:rsidRDefault="006145A3" w:rsidP="006145A3">
      <w:pPr>
        <w:pStyle w:val="BulletedList"/>
        <w:numPr>
          <w:ilvl w:val="1"/>
          <w:numId w:val="24"/>
        </w:numPr>
      </w:pPr>
      <w:r w:rsidRPr="00DE6C5F">
        <w:t>Increases in usage of local/</w:t>
      </w:r>
      <w:r w:rsidRPr="00104034">
        <w:rPr>
          <w:i/>
        </w:rPr>
        <w:t>iwi</w:t>
      </w:r>
      <w:r w:rsidRPr="00DE6C5F">
        <w:t xml:space="preserve"> language</w:t>
      </w:r>
    </w:p>
    <w:p w14:paraId="6F056B3F" w14:textId="77777777" w:rsidR="006145A3" w:rsidRPr="00DE6C5F" w:rsidRDefault="006145A3" w:rsidP="006145A3">
      <w:pPr>
        <w:pStyle w:val="BulletedList"/>
      </w:pPr>
      <w:r w:rsidRPr="00DE6C5F">
        <w:lastRenderedPageBreak/>
        <w:t xml:space="preserve">Transmitting </w:t>
      </w:r>
      <w:r w:rsidRPr="00104034">
        <w:rPr>
          <w:i/>
        </w:rPr>
        <w:t>te reo Māori</w:t>
      </w:r>
      <w:r w:rsidRPr="00DE6C5F">
        <w:t xml:space="preserve"> will mean:</w:t>
      </w:r>
    </w:p>
    <w:p w14:paraId="3DF053B0" w14:textId="77777777" w:rsidR="006145A3" w:rsidRPr="00DE6C5F" w:rsidRDefault="006145A3" w:rsidP="006145A3">
      <w:pPr>
        <w:pStyle w:val="BulletedList"/>
        <w:numPr>
          <w:ilvl w:val="1"/>
          <w:numId w:val="24"/>
        </w:numPr>
      </w:pPr>
      <w:r w:rsidRPr="00DE6C5F">
        <w:t>Increases in the proportion of Māori-speaking homes</w:t>
      </w:r>
    </w:p>
    <w:p w14:paraId="47C74DE5" w14:textId="77777777" w:rsidR="006145A3" w:rsidRPr="00DE6C5F" w:rsidRDefault="006145A3" w:rsidP="006145A3">
      <w:pPr>
        <w:pStyle w:val="BulletedList"/>
        <w:numPr>
          <w:ilvl w:val="1"/>
          <w:numId w:val="24"/>
        </w:numPr>
      </w:pPr>
      <w:r w:rsidRPr="00DE6C5F">
        <w:t xml:space="preserve">Increases in </w:t>
      </w:r>
      <w:r w:rsidRPr="00104034">
        <w:rPr>
          <w:i/>
        </w:rPr>
        <w:t>te reo</w:t>
      </w:r>
      <w:r w:rsidRPr="00DE6C5F">
        <w:t xml:space="preserve"> immersion (community) environments</w:t>
      </w:r>
    </w:p>
    <w:p w14:paraId="4404248E" w14:textId="77777777" w:rsidR="006145A3" w:rsidRPr="00DE6C5F" w:rsidRDefault="006145A3" w:rsidP="006145A3">
      <w:pPr>
        <w:pStyle w:val="BulletedList"/>
        <w:numPr>
          <w:ilvl w:val="1"/>
          <w:numId w:val="24"/>
        </w:numPr>
      </w:pPr>
      <w:r w:rsidRPr="00DE6C5F">
        <w:t xml:space="preserve">Increases in the proportion of Māori children as first language </w:t>
      </w:r>
      <w:r w:rsidRPr="00104034">
        <w:rPr>
          <w:i/>
        </w:rPr>
        <w:t>te reo Māori</w:t>
      </w:r>
      <w:r w:rsidRPr="00DE6C5F">
        <w:t xml:space="preserve"> speakers </w:t>
      </w:r>
    </w:p>
    <w:p w14:paraId="6DFB37AC" w14:textId="02DA7AEB" w:rsidR="006145A3" w:rsidRPr="000970B7" w:rsidRDefault="008D0BBE" w:rsidP="006145A3">
      <w:pPr>
        <w:pStyle w:val="BulletedList"/>
        <w:numPr>
          <w:ilvl w:val="1"/>
          <w:numId w:val="24"/>
        </w:numPr>
      </w:pPr>
      <w:sdt>
        <w:sdtPr>
          <w:id w:val="521134289"/>
          <w:citation/>
        </w:sdtPr>
        <w:sdtEndPr/>
        <w:sdtContent>
          <w:r w:rsidR="009947CD">
            <w:fldChar w:fldCharType="begin"/>
          </w:r>
          <w:r w:rsidR="009947CD">
            <w:instrText xml:space="preserve"> CITATION TeM17 \l 2057 </w:instrText>
          </w:r>
          <w:r w:rsidR="009947CD">
            <w:fldChar w:fldCharType="separate"/>
          </w:r>
          <w:r w:rsidR="009947CD" w:rsidRPr="009947CD">
            <w:rPr>
              <w:noProof/>
            </w:rPr>
            <w:t>(Te Mātāwai, 2017</w:t>
          </w:r>
          <w:r w:rsidR="009947CD" w:rsidRPr="009947CD">
            <w:rPr>
              <w:noProof/>
              <w:vertAlign w:val="subscript"/>
            </w:rPr>
            <w:t>[67]</w:t>
          </w:r>
          <w:r w:rsidR="009947CD" w:rsidRPr="009947CD">
            <w:rPr>
              <w:noProof/>
            </w:rPr>
            <w:t>)</w:t>
          </w:r>
          <w:r w:rsidR="009947CD">
            <w:fldChar w:fldCharType="end"/>
          </w:r>
        </w:sdtContent>
      </w:sdt>
    </w:p>
    <w:p w14:paraId="5993A463" w14:textId="77777777" w:rsidR="006145A3" w:rsidRPr="00C40E4C" w:rsidRDefault="006145A3" w:rsidP="006145A3">
      <w:pPr>
        <w:pStyle w:val="Heading4"/>
        <w:numPr>
          <w:ilvl w:val="3"/>
          <w:numId w:val="22"/>
        </w:numPr>
        <w:rPr>
          <w:lang w:val="en-US"/>
        </w:rPr>
      </w:pPr>
      <w:r w:rsidRPr="00C40E4C">
        <w:rPr>
          <w:lang w:val="en-US"/>
        </w:rPr>
        <w:t xml:space="preserve">Maihi </w:t>
      </w:r>
      <w:r w:rsidRPr="00DE6C5F">
        <w:t>Karauna</w:t>
      </w:r>
      <w:r w:rsidRPr="00C40E4C">
        <w:rPr>
          <w:lang w:val="en-US"/>
        </w:rPr>
        <w:t xml:space="preserve"> (The Crown's Strategy)</w:t>
      </w:r>
    </w:p>
    <w:p w14:paraId="1016612E" w14:textId="359B46AA" w:rsidR="006145A3" w:rsidRPr="00AC0199" w:rsidRDefault="006145A3" w:rsidP="006145A3">
      <w:pPr>
        <w:pStyle w:val="Para0"/>
      </w:pPr>
      <w:r w:rsidRPr="000970B7">
        <w:t xml:space="preserve">The </w:t>
      </w:r>
      <w:r w:rsidRPr="00AC0199">
        <w:t xml:space="preserve">Crown's Māori language strategy, </w:t>
      </w:r>
      <w:r w:rsidRPr="001730F8">
        <w:rPr>
          <w:i/>
          <w:iCs/>
        </w:rPr>
        <w:t>Maihi Karauna</w:t>
      </w:r>
      <w:r w:rsidRPr="00AC0199">
        <w:t xml:space="preserve"> </w:t>
      </w:r>
      <w:sdt>
        <w:sdtPr>
          <w:id w:val="-59646639"/>
          <w:citation/>
        </w:sdtPr>
        <w:sdtEndPr/>
        <w:sdtContent>
          <w:r w:rsidR="009947CD">
            <w:fldChar w:fldCharType="begin"/>
          </w:r>
          <w:r w:rsidR="009947CD">
            <w:instrText xml:space="preserve">CITATION TeP19 \l 2057 </w:instrText>
          </w:r>
          <w:r w:rsidR="009947CD">
            <w:fldChar w:fldCharType="separate"/>
          </w:r>
          <w:r w:rsidR="009947CD" w:rsidRPr="009947CD">
            <w:rPr>
              <w:noProof/>
            </w:rPr>
            <w:t>(</w:t>
          </w:r>
          <w:bookmarkStart w:id="118" w:name="TeP19_68"/>
          <w:r w:rsidR="009947CD" w:rsidRPr="009947CD">
            <w:rPr>
              <w:noProof/>
            </w:rPr>
            <w:t>Te Puni Kōkiri [Ministry of Māori Development], 2019</w:t>
          </w:r>
          <w:r w:rsidR="009947CD" w:rsidRPr="009947CD">
            <w:rPr>
              <w:noProof/>
              <w:vertAlign w:val="subscript"/>
            </w:rPr>
            <w:t>[68]</w:t>
          </w:r>
          <w:r w:rsidR="009947CD" w:rsidRPr="009947CD">
            <w:rPr>
              <w:noProof/>
            </w:rPr>
            <w:t>)</w:t>
          </w:r>
          <w:bookmarkEnd w:id="118"/>
          <w:r w:rsidR="009947CD">
            <w:fldChar w:fldCharType="end"/>
          </w:r>
        </w:sdtContent>
      </w:sdt>
      <w:r w:rsidRPr="00AC0199">
        <w:t xml:space="preserve">, was launched in 2019 as a strategy complementary to </w:t>
      </w:r>
      <w:r w:rsidRPr="001730F8">
        <w:rPr>
          <w:i/>
          <w:iCs/>
        </w:rPr>
        <w:t>Maihi Māori</w:t>
      </w:r>
      <w:r w:rsidRPr="00AC0199">
        <w:t xml:space="preserve">. It focuses on creating a society where </w:t>
      </w:r>
      <w:r w:rsidRPr="00A9006F">
        <w:rPr>
          <w:i/>
          <w:iCs/>
        </w:rPr>
        <w:t>te reo Māori</w:t>
      </w:r>
      <w:r w:rsidRPr="00AC0199">
        <w:t xml:space="preserve"> is valued, learned and used: expressed as </w:t>
      </w:r>
      <w:r>
        <w:t>“</w:t>
      </w:r>
      <w:r w:rsidRPr="00AC0199">
        <w:rPr>
          <w:i/>
        </w:rPr>
        <w:t>Kia māhorahora te reo</w:t>
      </w:r>
      <w:r w:rsidRPr="00AC0199">
        <w:t xml:space="preserve"> – </w:t>
      </w:r>
      <w:r w:rsidRPr="001730F8">
        <w:t>Everywhere, Every Way, Everyone, Every Day</w:t>
      </w:r>
      <w:r>
        <w:t xml:space="preserve">”. </w:t>
      </w:r>
      <w:r w:rsidRPr="00AC0199">
        <w:t xml:space="preserve">Its role is to develop policies and services that support language revitalisation. It sets out </w:t>
      </w:r>
      <w:r>
        <w:t>three “audacious goals”, which it defines as “</w:t>
      </w:r>
      <w:r w:rsidRPr="00ED7867">
        <w:t>a compelling goal statement that is intended to unite the effort of different organisations and groups over a long-term time period. It paints a vision of the future that will galvanise greater effort, collaboration and innovation, moving government efforts beyond status quo activities.</w:t>
      </w:r>
      <w:r>
        <w:t xml:space="preserve">” The </w:t>
      </w:r>
      <w:r w:rsidRPr="00AC0199">
        <w:t xml:space="preserve">three </w:t>
      </w:r>
      <w:r>
        <w:t xml:space="preserve">“audacious </w:t>
      </w:r>
      <w:r w:rsidRPr="00AC0199">
        <w:t>goals</w:t>
      </w:r>
      <w:r>
        <w:t>”</w:t>
      </w:r>
      <w:r w:rsidRPr="00AC0199">
        <w:t xml:space="preserve"> to achieve by 2040</w:t>
      </w:r>
      <w:r>
        <w:t xml:space="preserve"> are that</w:t>
      </w:r>
      <w:r w:rsidRPr="00AC0199">
        <w:t>:</w:t>
      </w:r>
    </w:p>
    <w:p w14:paraId="459AD4D0" w14:textId="77777777" w:rsidR="006145A3" w:rsidRPr="00DE6C5F" w:rsidRDefault="006145A3" w:rsidP="006145A3">
      <w:pPr>
        <w:pStyle w:val="BulletedList"/>
      </w:pPr>
      <w:r>
        <w:t>85% of New </w:t>
      </w:r>
      <w:r w:rsidRPr="00DE6C5F">
        <w:t xml:space="preserve">Zealanders (or more) will value </w:t>
      </w:r>
      <w:r w:rsidRPr="00512B61">
        <w:rPr>
          <w:i/>
        </w:rPr>
        <w:t>te reo Māori</w:t>
      </w:r>
      <w:r w:rsidRPr="00DE6C5F">
        <w:t xml:space="preserve"> as a key element of national identity</w:t>
      </w:r>
    </w:p>
    <w:p w14:paraId="5FE304C1" w14:textId="77777777" w:rsidR="006145A3" w:rsidRPr="00DE6C5F" w:rsidRDefault="006145A3" w:rsidP="006145A3">
      <w:pPr>
        <w:pStyle w:val="BulletedList"/>
      </w:pPr>
      <w:r w:rsidRPr="00DE6C5F">
        <w:t>One million New</w:t>
      </w:r>
      <w:r>
        <w:t> </w:t>
      </w:r>
      <w:r w:rsidRPr="00DE6C5F">
        <w:t xml:space="preserve">Zealanders (or more) will have the ability and confidence to talk about at least basic things in </w:t>
      </w:r>
      <w:r w:rsidRPr="00512B61">
        <w:rPr>
          <w:i/>
        </w:rPr>
        <w:t>te reo Māori</w:t>
      </w:r>
    </w:p>
    <w:p w14:paraId="233A4E1C" w14:textId="77777777" w:rsidR="006145A3" w:rsidRPr="00DE6C5F" w:rsidRDefault="006145A3" w:rsidP="006145A3">
      <w:pPr>
        <w:pStyle w:val="BulletedList"/>
      </w:pPr>
      <w:r w:rsidRPr="00DE6C5F">
        <w:t>150</w:t>
      </w:r>
      <w:r>
        <w:t> </w:t>
      </w:r>
      <w:r w:rsidRPr="00DE6C5F">
        <w:t>000 Māori aged</w:t>
      </w:r>
      <w:r>
        <w:t> </w:t>
      </w:r>
      <w:r w:rsidRPr="00DE6C5F">
        <w:t xml:space="preserve">15 and over will use </w:t>
      </w:r>
      <w:r w:rsidRPr="00512B61">
        <w:rPr>
          <w:i/>
        </w:rPr>
        <w:t>te reo Māori</w:t>
      </w:r>
      <w:r w:rsidRPr="00DE6C5F">
        <w:t xml:space="preserve"> as much as English.</w:t>
      </w:r>
    </w:p>
    <w:p w14:paraId="0ED35487" w14:textId="77777777" w:rsidR="006145A3" w:rsidRPr="00AC0199" w:rsidRDefault="006145A3" w:rsidP="006145A3">
      <w:pPr>
        <w:pStyle w:val="Para0"/>
      </w:pPr>
      <w:r w:rsidRPr="00AC0199">
        <w:t>To achieve these goals, it proposes to:</w:t>
      </w:r>
    </w:p>
    <w:p w14:paraId="5C5E760A" w14:textId="77777777" w:rsidR="006145A3" w:rsidRPr="00AC0199" w:rsidRDefault="006145A3" w:rsidP="006145A3">
      <w:pPr>
        <w:pStyle w:val="NumberedList"/>
      </w:pPr>
      <w:r w:rsidRPr="00512B61">
        <w:rPr>
          <w:i/>
          <w:iCs/>
        </w:rPr>
        <w:t>Whakanui</w:t>
      </w:r>
      <w:r w:rsidRPr="00AC0199">
        <w:t xml:space="preserve">: Create the conditions for </w:t>
      </w:r>
      <w:r w:rsidRPr="00A9006F">
        <w:rPr>
          <w:i/>
          <w:iCs/>
        </w:rPr>
        <w:t>te reo Māori</w:t>
      </w:r>
      <w:r w:rsidRPr="00AC0199">
        <w:t xml:space="preserve"> to be valued </w:t>
      </w:r>
    </w:p>
    <w:p w14:paraId="2EE343E9" w14:textId="77777777" w:rsidR="006145A3" w:rsidRPr="000970B7" w:rsidRDefault="006145A3" w:rsidP="006145A3">
      <w:pPr>
        <w:pStyle w:val="NumberedList"/>
      </w:pPr>
      <w:r w:rsidRPr="00512B61">
        <w:rPr>
          <w:i/>
          <w:iCs/>
        </w:rPr>
        <w:t>Whakaako</w:t>
      </w:r>
      <w:r w:rsidRPr="00AC0199">
        <w:t>: Create the conditions</w:t>
      </w:r>
      <w:r w:rsidRPr="000970B7">
        <w:t xml:space="preserve"> for </w:t>
      </w:r>
      <w:r w:rsidRPr="00A9006F">
        <w:rPr>
          <w:i/>
          <w:iCs/>
        </w:rPr>
        <w:t>te reo Māori</w:t>
      </w:r>
      <w:r w:rsidRPr="000970B7">
        <w:t xml:space="preserve"> to be learned</w:t>
      </w:r>
    </w:p>
    <w:p w14:paraId="5FB11929" w14:textId="77777777" w:rsidR="006145A3" w:rsidRPr="000970B7" w:rsidRDefault="006145A3" w:rsidP="006145A3">
      <w:pPr>
        <w:pStyle w:val="NumberedList"/>
      </w:pPr>
      <w:r w:rsidRPr="00512B61">
        <w:rPr>
          <w:i/>
          <w:iCs/>
        </w:rPr>
        <w:t>Whakaatu</w:t>
      </w:r>
      <w:r w:rsidRPr="000970B7">
        <w:t xml:space="preserve">: Create the conditions for </w:t>
      </w:r>
      <w:r w:rsidRPr="00A9006F">
        <w:rPr>
          <w:i/>
          <w:iCs/>
        </w:rPr>
        <w:t>te reo Māori</w:t>
      </w:r>
      <w:r w:rsidRPr="000970B7">
        <w:t xml:space="preserve"> to be seen, heard, read and used. </w:t>
      </w:r>
    </w:p>
    <w:p w14:paraId="281F19BB" w14:textId="77777777" w:rsidR="006145A3" w:rsidRPr="00AC0199" w:rsidRDefault="006145A3" w:rsidP="006145A3">
      <w:pPr>
        <w:pStyle w:val="Para0"/>
      </w:pPr>
      <w:r>
        <w:t>The Strategy</w:t>
      </w:r>
      <w:r w:rsidRPr="000970B7">
        <w:t xml:space="preserve"> recognises that the Government's role in delivering formal education is a </w:t>
      </w:r>
      <w:r w:rsidRPr="00AC0199">
        <w:t xml:space="preserve">powerful lever for achieving the </w:t>
      </w:r>
      <w:r>
        <w:t>desired progress, and notes the intention to i</w:t>
      </w:r>
      <w:r w:rsidRPr="00AC0199">
        <w:t>ntegrat</w:t>
      </w:r>
      <w:r>
        <w:t>e</w:t>
      </w:r>
      <w:r w:rsidRPr="00AC0199">
        <w:t xml:space="preserve"> </w:t>
      </w:r>
      <w:r w:rsidRPr="00A9006F">
        <w:rPr>
          <w:i/>
          <w:iCs/>
        </w:rPr>
        <w:t>te reo Māori</w:t>
      </w:r>
      <w:r w:rsidRPr="00AC0199">
        <w:t xml:space="preserve"> across early childhood, primary and secondary school</w:t>
      </w:r>
      <w:r>
        <w:t>s by 2025</w:t>
      </w:r>
      <w:r w:rsidRPr="00AC0199">
        <w:t xml:space="preserve">, as </w:t>
      </w:r>
      <w:r>
        <w:t xml:space="preserve">well as </w:t>
      </w:r>
      <w:r w:rsidRPr="00AC0199">
        <w:t xml:space="preserve">increasing the number of </w:t>
      </w:r>
      <w:r w:rsidRPr="00A9006F">
        <w:rPr>
          <w:i/>
          <w:iCs/>
        </w:rPr>
        <w:t>te reo Māori</w:t>
      </w:r>
      <w:r w:rsidRPr="00AC0199">
        <w:t xml:space="preserve"> teachers and their capabilities.</w:t>
      </w:r>
    </w:p>
    <w:p w14:paraId="4C2ADA9F" w14:textId="41EF7FA1" w:rsidR="006145A3" w:rsidRPr="00FB2190" w:rsidRDefault="006145A3" w:rsidP="006145A3">
      <w:pPr>
        <w:pStyle w:val="Para0"/>
      </w:pPr>
      <w:r w:rsidRPr="00512B61">
        <w:rPr>
          <w:i/>
        </w:rPr>
        <w:t>Te Puni Kōkiri</w:t>
      </w:r>
      <w:r w:rsidRPr="00AC0199">
        <w:t xml:space="preserve"> (</w:t>
      </w:r>
      <w:r w:rsidRPr="00BC030D">
        <w:t>Ministry of Māori Development</w:t>
      </w:r>
      <w:r w:rsidRPr="00AC0199">
        <w:t xml:space="preserve">) has also produced </w:t>
      </w:r>
      <w:r>
        <w:t xml:space="preserve">a </w:t>
      </w:r>
      <w:r w:rsidRPr="00AC0199">
        <w:t xml:space="preserve">framework for monitoring and evaluating the state of Māori language and the effectiveness of the </w:t>
      </w:r>
      <w:r w:rsidRPr="00FB2190">
        <w:rPr>
          <w:i/>
          <w:iCs/>
        </w:rPr>
        <w:t>Maihi Karauna</w:t>
      </w:r>
      <w:r w:rsidRPr="00AC0199">
        <w:t xml:space="preserve"> strategy </w:t>
      </w:r>
      <w:r>
        <w:t>in</w:t>
      </w:r>
      <w:r w:rsidRPr="00AC0199">
        <w:t xml:space="preserve"> revitalis</w:t>
      </w:r>
      <w:r>
        <w:t xml:space="preserve">ing </w:t>
      </w:r>
      <w:r w:rsidRPr="00A9006F">
        <w:rPr>
          <w:i/>
          <w:iCs/>
        </w:rPr>
        <w:t>te reo Māori</w:t>
      </w:r>
      <w:r w:rsidRPr="00AC0199">
        <w:t xml:space="preserve"> </w:t>
      </w:r>
      <w:sdt>
        <w:sdtPr>
          <w:id w:val="-673656295"/>
          <w:citation/>
        </w:sdtPr>
        <w:sdtEndPr/>
        <w:sdtContent>
          <w:r w:rsidR="009947CD">
            <w:fldChar w:fldCharType="begin"/>
          </w:r>
          <w:r w:rsidR="009947CD">
            <w:instrText xml:space="preserve">CITATION TeP191 \l 2057 </w:instrText>
          </w:r>
          <w:r w:rsidR="009947CD">
            <w:fldChar w:fldCharType="separate"/>
          </w:r>
          <w:r w:rsidR="009947CD" w:rsidRPr="009947CD">
            <w:rPr>
              <w:noProof/>
            </w:rPr>
            <w:t>(</w:t>
          </w:r>
          <w:bookmarkStart w:id="119" w:name="TeP191_69"/>
          <w:r w:rsidR="009947CD" w:rsidRPr="009947CD">
            <w:rPr>
              <w:noProof/>
            </w:rPr>
            <w:t>Te Puni Kōkiri, 2019</w:t>
          </w:r>
          <w:r w:rsidR="009947CD" w:rsidRPr="009947CD">
            <w:rPr>
              <w:noProof/>
              <w:vertAlign w:val="subscript"/>
            </w:rPr>
            <w:t>[69]</w:t>
          </w:r>
          <w:r w:rsidR="009947CD" w:rsidRPr="009947CD">
            <w:rPr>
              <w:noProof/>
            </w:rPr>
            <w:t>)</w:t>
          </w:r>
          <w:bookmarkEnd w:id="119"/>
          <w:r w:rsidR="009947CD">
            <w:fldChar w:fldCharType="end"/>
          </w:r>
        </w:sdtContent>
      </w:sdt>
      <w:r w:rsidRPr="000970B7">
        <w:t>.</w:t>
      </w:r>
      <w:r>
        <w:t xml:space="preserve"> The purpose of this framework is </w:t>
      </w:r>
      <w:r w:rsidRPr="00FB2190">
        <w:t xml:space="preserve">to track </w:t>
      </w:r>
      <w:r>
        <w:t xml:space="preserve">the </w:t>
      </w:r>
      <w:r w:rsidRPr="00FB2190">
        <w:t xml:space="preserve">implementation </w:t>
      </w:r>
      <w:r>
        <w:t xml:space="preserve">of </w:t>
      </w:r>
      <w:r w:rsidRPr="00FB2190">
        <w:rPr>
          <w:i/>
          <w:iCs/>
        </w:rPr>
        <w:t>Maihi Karauna</w:t>
      </w:r>
      <w:r w:rsidRPr="00FB2190">
        <w:t xml:space="preserve"> and </w:t>
      </w:r>
      <w:r>
        <w:t>assess</w:t>
      </w:r>
      <w:r w:rsidRPr="00FB2190">
        <w:t xml:space="preserve"> </w:t>
      </w:r>
      <w:r>
        <w:t>whether</w:t>
      </w:r>
      <w:r w:rsidRPr="00FB2190">
        <w:t xml:space="preserve"> and how </w:t>
      </w:r>
      <w:r w:rsidRPr="002E5D2D">
        <w:t>it</w:t>
      </w:r>
      <w:r>
        <w:rPr>
          <w:i/>
          <w:iCs/>
        </w:rPr>
        <w:t xml:space="preserve"> </w:t>
      </w:r>
      <w:r w:rsidRPr="00FB2190">
        <w:t xml:space="preserve">is effective in achieving its objectives, </w:t>
      </w:r>
      <w:r>
        <w:t>as well as identifying</w:t>
      </w:r>
      <w:r w:rsidRPr="00FB2190">
        <w:t xml:space="preserve"> where improvements can be made.</w:t>
      </w:r>
    </w:p>
    <w:p w14:paraId="2311EEBD" w14:textId="3D443776" w:rsidR="006145A3" w:rsidRDefault="006145A3" w:rsidP="006145A3">
      <w:pPr>
        <w:pStyle w:val="Para0"/>
      </w:pPr>
      <w:r>
        <w:t xml:space="preserve">Following publication of </w:t>
      </w:r>
      <w:r w:rsidRPr="00FB2190">
        <w:rPr>
          <w:i/>
          <w:iCs/>
        </w:rPr>
        <w:t>Maihi Karauna</w:t>
      </w:r>
      <w:r>
        <w:t>,</w:t>
      </w:r>
      <w:r w:rsidRPr="00FB2190">
        <w:t xml:space="preserve"> </w:t>
      </w:r>
      <w:r w:rsidRPr="00AC0199">
        <w:t xml:space="preserve">Te Puni Kōkiri </w:t>
      </w:r>
      <w:sdt>
        <w:sdtPr>
          <w:id w:val="-466903444"/>
          <w:citation/>
        </w:sdtPr>
        <w:sdtEndPr/>
        <w:sdtContent>
          <w:r w:rsidR="00954AA8">
            <w:fldChar w:fldCharType="begin"/>
          </w:r>
          <w:r w:rsidR="00954AA8">
            <w:instrText xml:space="preserve">CITATION TeP \n  \l 2057 </w:instrText>
          </w:r>
          <w:r w:rsidR="00954AA8">
            <w:fldChar w:fldCharType="separate"/>
          </w:r>
          <w:r w:rsidR="00954AA8" w:rsidRPr="00954AA8">
            <w:rPr>
              <w:noProof/>
            </w:rPr>
            <w:t>(2019</w:t>
          </w:r>
          <w:r w:rsidR="00954AA8" w:rsidRPr="00954AA8">
            <w:rPr>
              <w:noProof/>
              <w:vertAlign w:val="subscript"/>
            </w:rPr>
            <w:t>[70]</w:t>
          </w:r>
          <w:r w:rsidR="00954AA8" w:rsidRPr="00954AA8">
            <w:rPr>
              <w:noProof/>
            </w:rPr>
            <w:t>)</w:t>
          </w:r>
          <w:r w:rsidR="00954AA8">
            <w:fldChar w:fldCharType="end"/>
          </w:r>
        </w:sdtContent>
      </w:sdt>
      <w:r w:rsidR="00954AA8">
        <w:t xml:space="preserve"> </w:t>
      </w:r>
      <w:r>
        <w:t xml:space="preserve">then reported on </w:t>
      </w:r>
      <w:r w:rsidRPr="00FB2190">
        <w:t xml:space="preserve">the current state of </w:t>
      </w:r>
      <w:r w:rsidRPr="00512B61">
        <w:rPr>
          <w:i/>
        </w:rPr>
        <w:t xml:space="preserve">te reo </w:t>
      </w:r>
      <w:r w:rsidRPr="00FB2190">
        <w:rPr>
          <w:i/>
          <w:iCs/>
        </w:rPr>
        <w:t>Māori</w:t>
      </w:r>
      <w:r>
        <w:t>,</w:t>
      </w:r>
      <w:r w:rsidRPr="00FB2190">
        <w:t xml:space="preserve"> </w:t>
      </w:r>
      <w:r>
        <w:t>to</w:t>
      </w:r>
      <w:r w:rsidRPr="00FB2190">
        <w:t xml:space="preserve"> serve as a baseline </w:t>
      </w:r>
      <w:r>
        <w:t>for</w:t>
      </w:r>
      <w:r w:rsidRPr="00FB2190">
        <w:t xml:space="preserve"> monitor</w:t>
      </w:r>
      <w:r>
        <w:t>ing</w:t>
      </w:r>
      <w:r w:rsidRPr="00FB2190">
        <w:t xml:space="preserve"> progress towards achieving the goals, outcomes and priorities of the </w:t>
      </w:r>
      <w:r w:rsidRPr="002E5D2D">
        <w:rPr>
          <w:i/>
          <w:iCs/>
        </w:rPr>
        <w:t>Māihi Karauna</w:t>
      </w:r>
      <w:r w:rsidRPr="00FB2190">
        <w:t xml:space="preserve"> strategy </w:t>
      </w:r>
      <w:sdt>
        <w:sdtPr>
          <w:id w:val="-9755759"/>
          <w:citation/>
        </w:sdtPr>
        <w:sdtEndPr/>
        <w:sdtContent>
          <w:r w:rsidR="009947CD">
            <w:fldChar w:fldCharType="begin"/>
          </w:r>
          <w:r w:rsidR="009947CD">
            <w:instrText xml:space="preserve">CITATION TeP \l 2057 </w:instrText>
          </w:r>
          <w:r w:rsidR="009947CD">
            <w:fldChar w:fldCharType="separate"/>
          </w:r>
          <w:r w:rsidR="009947CD" w:rsidRPr="009947CD">
            <w:rPr>
              <w:noProof/>
            </w:rPr>
            <w:t>(</w:t>
          </w:r>
          <w:bookmarkStart w:id="120" w:name="TeP_70"/>
          <w:r w:rsidR="009947CD" w:rsidRPr="009947CD">
            <w:rPr>
              <w:noProof/>
            </w:rPr>
            <w:t>Te Puni Kōkiri, 2019</w:t>
          </w:r>
          <w:r w:rsidR="009947CD" w:rsidRPr="009947CD">
            <w:rPr>
              <w:noProof/>
              <w:vertAlign w:val="subscript"/>
            </w:rPr>
            <w:t>[70]</w:t>
          </w:r>
          <w:r w:rsidR="009947CD" w:rsidRPr="009947CD">
            <w:rPr>
              <w:noProof/>
            </w:rPr>
            <w:t>)</w:t>
          </w:r>
          <w:bookmarkEnd w:id="120"/>
          <w:r w:rsidR="009947CD">
            <w:fldChar w:fldCharType="end"/>
          </w:r>
        </w:sdtContent>
      </w:sdt>
      <w:r>
        <w:t>.</w:t>
      </w:r>
    </w:p>
    <w:p w14:paraId="02008E7F" w14:textId="77777777" w:rsidR="006145A3" w:rsidRPr="00C40E4C" w:rsidRDefault="006145A3" w:rsidP="006145A3">
      <w:pPr>
        <w:pStyle w:val="Heading4"/>
        <w:numPr>
          <w:ilvl w:val="3"/>
          <w:numId w:val="22"/>
        </w:numPr>
        <w:rPr>
          <w:lang w:val="en-US"/>
        </w:rPr>
      </w:pPr>
      <w:bookmarkStart w:id="121" w:name="__Fieldmark__10383_224565148"/>
      <w:bookmarkEnd w:id="121"/>
      <w:r w:rsidRPr="00C40E4C">
        <w:rPr>
          <w:lang w:val="en-US"/>
        </w:rPr>
        <w:t>Māori Curriculum and resources</w:t>
      </w:r>
    </w:p>
    <w:p w14:paraId="6A675CB3" w14:textId="77777777" w:rsidR="006145A3" w:rsidRPr="00AC0199" w:rsidRDefault="006145A3" w:rsidP="006145A3">
      <w:pPr>
        <w:pStyle w:val="Para0"/>
      </w:pPr>
      <w:r w:rsidRPr="00AC0199">
        <w:t>The Ministry of Education maintains a Māori</w:t>
      </w:r>
      <w:r>
        <w:t>-medium</w:t>
      </w:r>
      <w:r w:rsidRPr="00AC0199">
        <w:t xml:space="preserve"> curriculum and teaching resource website, </w:t>
      </w:r>
      <w:r w:rsidRPr="00AC0199">
        <w:rPr>
          <w:i/>
          <w:iCs/>
        </w:rPr>
        <w:t>Mātauranga Māori</w:t>
      </w:r>
      <w:r>
        <w:rPr>
          <w:rStyle w:val="FootnoteReference"/>
          <w:i/>
          <w:iCs/>
        </w:rPr>
        <w:footnoteReference w:id="2"/>
      </w:r>
      <w:r w:rsidRPr="00AC0199">
        <w:t xml:space="preserve">. </w:t>
      </w:r>
      <w:r>
        <w:t>T</w:t>
      </w:r>
      <w:r w:rsidRPr="00AC0199">
        <w:t>here are separate Māori</w:t>
      </w:r>
      <w:r>
        <w:t>-</w:t>
      </w:r>
      <w:r w:rsidRPr="00AC0199">
        <w:t xml:space="preserve">medium curricula for Pāngarau (Maths), </w:t>
      </w:r>
      <w:r w:rsidRPr="00512B61">
        <w:rPr>
          <w:i/>
        </w:rPr>
        <w:t>Te Reo Māori</w:t>
      </w:r>
      <w:r w:rsidRPr="00AC0199">
        <w:t xml:space="preserve"> (Māori language), </w:t>
      </w:r>
      <w:r w:rsidRPr="00512B61">
        <w:rPr>
          <w:i/>
        </w:rPr>
        <w:t>Hauora</w:t>
      </w:r>
      <w:r w:rsidRPr="00AC0199">
        <w:t xml:space="preserve"> (Health), </w:t>
      </w:r>
      <w:r w:rsidRPr="00512B61">
        <w:rPr>
          <w:i/>
        </w:rPr>
        <w:t>Tikanga-a-Iwi</w:t>
      </w:r>
      <w:r w:rsidRPr="00AC0199">
        <w:t xml:space="preserve"> (Social Studies), </w:t>
      </w:r>
      <w:r w:rsidRPr="00512B61">
        <w:rPr>
          <w:i/>
        </w:rPr>
        <w:t>Ngā Toi</w:t>
      </w:r>
      <w:r w:rsidRPr="00AC0199">
        <w:t xml:space="preserve"> (Arts), </w:t>
      </w:r>
      <w:r w:rsidRPr="00512B61">
        <w:rPr>
          <w:i/>
        </w:rPr>
        <w:t>Pūtaiao</w:t>
      </w:r>
      <w:r w:rsidRPr="00AC0199">
        <w:t xml:space="preserve"> (Science), </w:t>
      </w:r>
      <w:r w:rsidRPr="00512B61">
        <w:rPr>
          <w:i/>
        </w:rPr>
        <w:t>Hangarau</w:t>
      </w:r>
      <w:r w:rsidRPr="00AC0199">
        <w:t xml:space="preserve"> (Technology), </w:t>
      </w:r>
      <w:r w:rsidRPr="00512B61">
        <w:rPr>
          <w:i/>
        </w:rPr>
        <w:t>Te Reo Pākeha</w:t>
      </w:r>
      <w:r w:rsidRPr="00AC0199">
        <w:t xml:space="preserve"> (English), </w:t>
      </w:r>
      <w:r>
        <w:t xml:space="preserve">and </w:t>
      </w:r>
      <w:r w:rsidRPr="00512B61">
        <w:rPr>
          <w:i/>
        </w:rPr>
        <w:t>Ngā Reo</w:t>
      </w:r>
      <w:r w:rsidRPr="00AC0199">
        <w:t xml:space="preserve"> (</w:t>
      </w:r>
      <w:r>
        <w:t xml:space="preserve">other </w:t>
      </w:r>
      <w:r w:rsidRPr="00AC0199">
        <w:t>Languages).</w:t>
      </w:r>
    </w:p>
    <w:p w14:paraId="1A5C3292" w14:textId="77777777" w:rsidR="006145A3" w:rsidRPr="00803C6D" w:rsidRDefault="006145A3" w:rsidP="006145A3">
      <w:pPr>
        <w:pStyle w:val="Heading2"/>
        <w:numPr>
          <w:ilvl w:val="1"/>
          <w:numId w:val="22"/>
        </w:numPr>
      </w:pPr>
      <w:bookmarkStart w:id="122" w:name="_Toc82093566"/>
      <w:bookmarkStart w:id="123" w:name="_Toc95824105"/>
      <w:r w:rsidRPr="00DE6C5F">
        <w:lastRenderedPageBreak/>
        <w:t>Australia</w:t>
      </w:r>
      <w:bookmarkEnd w:id="122"/>
      <w:bookmarkEnd w:id="123"/>
    </w:p>
    <w:p w14:paraId="5E0CD8F7" w14:textId="77777777" w:rsidR="006145A3" w:rsidRPr="00852D94" w:rsidRDefault="006145A3" w:rsidP="006145A3">
      <w:pPr>
        <w:pStyle w:val="Heading3"/>
        <w:numPr>
          <w:ilvl w:val="2"/>
          <w:numId w:val="22"/>
        </w:numPr>
      </w:pPr>
      <w:bookmarkStart w:id="124" w:name="_Toc32138002"/>
      <w:bookmarkStart w:id="125" w:name="_Ref40468682"/>
      <w:bookmarkEnd w:id="124"/>
      <w:r w:rsidRPr="00852D94">
        <w:t xml:space="preserve">National </w:t>
      </w:r>
      <w:r w:rsidRPr="00DE6C5F">
        <w:t>context</w:t>
      </w:r>
      <w:bookmarkEnd w:id="125"/>
    </w:p>
    <w:p w14:paraId="2DEC51F9" w14:textId="77777777" w:rsidR="006145A3" w:rsidRPr="005A0926" w:rsidRDefault="006145A3" w:rsidP="006145A3">
      <w:pPr>
        <w:pStyle w:val="Para0"/>
      </w:pPr>
      <w:r w:rsidRPr="00862D5A">
        <w:t xml:space="preserve">Nationally, Australia </w:t>
      </w:r>
      <w:r w:rsidRPr="005A0926">
        <w:t>has no legislation creating official languages, but English is the language of education, administration, media, employment and finance.</w:t>
      </w:r>
    </w:p>
    <w:p w14:paraId="5E1199EB" w14:textId="77777777" w:rsidR="006145A3" w:rsidRPr="005A0926" w:rsidRDefault="006145A3" w:rsidP="006145A3">
      <w:pPr>
        <w:pStyle w:val="Para0"/>
      </w:pPr>
      <w:r w:rsidRPr="005A0926">
        <w:t xml:space="preserve">Education administration is in the purview of the state jurisdictions, but the Commonwealth government has a role in proposing and funding initiatives and in coordinating meetings of state jurisdictions to work out intergovernmental agreements. For example the </w:t>
      </w:r>
      <w:r w:rsidRPr="005A0926">
        <w:rPr>
          <w:i/>
        </w:rPr>
        <w:t>Australian Education Act</w:t>
      </w:r>
      <w:r w:rsidRPr="005A0926">
        <w:t xml:space="preserve"> 2013, which provides a Commonwealth needs</w:t>
      </w:r>
      <w:r w:rsidRPr="005A0926">
        <w:noBreakHyphen/>
        <w:t>based funding model for school education, authorised collecting data on student progression and on nationally agreed student background characteristics</w:t>
      </w:r>
      <w:r>
        <w:t>, including</w:t>
      </w:r>
      <w:r w:rsidRPr="005A0926">
        <w:t xml:space="preserve"> language background. </w:t>
      </w:r>
    </w:p>
    <w:p w14:paraId="644AABC1" w14:textId="1271FCCD" w:rsidR="006145A3" w:rsidRPr="005A0926" w:rsidRDefault="006145A3" w:rsidP="006145A3">
      <w:pPr>
        <w:pStyle w:val="Para0"/>
      </w:pPr>
      <w:r w:rsidRPr="005A0926">
        <w:t xml:space="preserve">In 2008, the Australian Curriculum, Assessment and Reporting Authority </w:t>
      </w:r>
      <w:r>
        <w:t xml:space="preserve">(ACARA) </w:t>
      </w:r>
      <w:r w:rsidRPr="005A0926">
        <w:t>was established as an independent statutory authority t</w:t>
      </w:r>
      <w:r>
        <w:t>o</w:t>
      </w:r>
      <w:r w:rsidRPr="005A0926">
        <w:t xml:space="preserve"> carr</w:t>
      </w:r>
      <w:r>
        <w:t>y</w:t>
      </w:r>
      <w:r w:rsidRPr="005A0926">
        <w:t xml:space="preserve"> out education policy directi</w:t>
      </w:r>
      <w:r>
        <w:t>ve</w:t>
      </w:r>
      <w:r w:rsidRPr="005A0926">
        <w:t xml:space="preserve">s </w:t>
      </w:r>
      <w:r>
        <w:t>of</w:t>
      </w:r>
      <w:r w:rsidRPr="005A0926">
        <w:t xml:space="preserve"> the Council of Australian Governments. </w:t>
      </w:r>
      <w:r>
        <w:t>ACARA</w:t>
      </w:r>
      <w:r w:rsidRPr="005A0926">
        <w:t xml:space="preserve"> developed a national curriculum to set "the expectations for what all young Australians should be taught", with the first suite of curricula released initially in 2010 </w:t>
      </w:r>
      <w:sdt>
        <w:sdtPr>
          <w:id w:val="670605579"/>
          <w:citation/>
        </w:sdtPr>
        <w:sdtEndPr/>
        <w:sdtContent>
          <w:r w:rsidR="00BC030D">
            <w:fldChar w:fldCharType="begin"/>
          </w:r>
          <w:r w:rsidR="00BC030D">
            <w:instrText xml:space="preserve"> CITATION Ausnd \l 2057 </w:instrText>
          </w:r>
          <w:r w:rsidR="00BC030D">
            <w:fldChar w:fldCharType="separate"/>
          </w:r>
          <w:r w:rsidR="00BC030D" w:rsidRPr="00BC030D">
            <w:rPr>
              <w:noProof/>
            </w:rPr>
            <w:t>(Australian Curriculum Assessment and Reporting Authority, n.d.</w:t>
          </w:r>
          <w:r w:rsidR="00BC030D" w:rsidRPr="00BC030D">
            <w:rPr>
              <w:noProof/>
              <w:vertAlign w:val="subscript"/>
            </w:rPr>
            <w:t>[53]</w:t>
          </w:r>
          <w:r w:rsidR="00BC030D" w:rsidRPr="00BC030D">
            <w:rPr>
              <w:noProof/>
            </w:rPr>
            <w:t>)</w:t>
          </w:r>
          <w:r w:rsidR="00BC030D">
            <w:fldChar w:fldCharType="end"/>
          </w:r>
        </w:sdtContent>
      </w:sdt>
      <w:r w:rsidRPr="005A0926">
        <w:t xml:space="preserve">. This was endorsed by Council of Australian Governments in 2015. The curriculum </w:t>
      </w:r>
      <w:r>
        <w:t>has since been</w:t>
      </w:r>
      <w:r w:rsidRPr="005A0926">
        <w:t xml:space="preserve"> updated with the next suite of subjects including the Framework for Aboriginal Languages and Torres Strait Islander Languages (Foundation – Year</w:t>
      </w:r>
      <w:r>
        <w:t> </w:t>
      </w:r>
      <w:r w:rsidRPr="005A0926">
        <w:t>10 learning sequence) (</w:t>
      </w:r>
      <w:r w:rsidRPr="005C35BB">
        <w:t>Australian Curriculum, Assessment and Reporting Authority, 2016</w:t>
      </w:r>
      <w:r w:rsidRPr="005A0926">
        <w:t xml:space="preserve">). </w:t>
      </w:r>
    </w:p>
    <w:p w14:paraId="1FABEDB9" w14:textId="01D5A3DD" w:rsidR="006145A3" w:rsidRPr="00862D5A" w:rsidRDefault="006145A3" w:rsidP="006145A3">
      <w:pPr>
        <w:pStyle w:val="Para0"/>
      </w:pPr>
      <w:r w:rsidRPr="005A0926">
        <w:t xml:space="preserve">This </w:t>
      </w:r>
      <w:r>
        <w:t>F</w:t>
      </w:r>
      <w:r w:rsidRPr="005A0926">
        <w:t>ramework is intended to be flexible enough</w:t>
      </w:r>
      <w:r w:rsidRPr="00862D5A">
        <w:t xml:space="preserve"> to allow "language-specific curriculum development for languages that are being revived, still have first language speakers, are regaining fluent speakers, or have substantial resources" (</w:t>
      </w:r>
      <w:r w:rsidRPr="005C35BB">
        <w:t>Australian Curriculum, Assessment and Reporting Authority, 2016</w:t>
      </w:r>
      <w:r w:rsidRPr="00862D5A">
        <w:t xml:space="preserve">). </w:t>
      </w:r>
      <w:r>
        <w:t xml:space="preserve">The Framework </w:t>
      </w:r>
      <w:r w:rsidRPr="00862D5A">
        <w:t xml:space="preserve">caters for </w:t>
      </w:r>
      <w:r w:rsidRPr="005A0926">
        <w:t xml:space="preserve">three learner pathways: first language speakers, new learners of languages from communities still speaking Indigenous Australian languages, and language revival where there are no first language speakers. How this framework is guiding curriculum design in the states varies considerably </w:t>
      </w:r>
      <w:sdt>
        <w:sdtPr>
          <w:id w:val="-732780814"/>
          <w:citation/>
        </w:sdtPr>
        <w:sdtEndPr/>
        <w:sdtContent>
          <w:r w:rsidR="003E4CEC">
            <w:fldChar w:fldCharType="begin"/>
          </w:r>
          <w:r w:rsidR="00271823">
            <w:instrText xml:space="preserve">CITATION Dis19 \l 2057 </w:instrText>
          </w:r>
          <w:r w:rsidR="003E4CEC">
            <w:fldChar w:fldCharType="separate"/>
          </w:r>
          <w:r w:rsidR="00271823" w:rsidRPr="00271823">
            <w:rPr>
              <w:noProof/>
            </w:rPr>
            <w:t>(</w:t>
          </w:r>
          <w:bookmarkStart w:id="126" w:name="Dis19_71"/>
          <w:r w:rsidR="00271823" w:rsidRPr="00271823">
            <w:rPr>
              <w:noProof/>
            </w:rPr>
            <w:t>Disbray, 2019</w:t>
          </w:r>
          <w:r w:rsidR="00271823" w:rsidRPr="00271823">
            <w:rPr>
              <w:noProof/>
              <w:vertAlign w:val="subscript"/>
            </w:rPr>
            <w:t>[71]</w:t>
          </w:r>
          <w:r w:rsidR="00271823" w:rsidRPr="00271823">
            <w:rPr>
              <w:noProof/>
            </w:rPr>
            <w:t>)</w:t>
          </w:r>
          <w:bookmarkEnd w:id="126"/>
          <w:r w:rsidR="003E4CEC">
            <w:fldChar w:fldCharType="end"/>
          </w:r>
        </w:sdtContent>
      </w:sdt>
      <w:r w:rsidRPr="00862D5A">
        <w:t xml:space="preserve">. </w:t>
      </w:r>
      <w:r>
        <w:t>Nonetheless,</w:t>
      </w:r>
      <w:r w:rsidRPr="00862D5A">
        <w:t xml:space="preserve"> </w:t>
      </w:r>
      <w:r>
        <w:t xml:space="preserve">the </w:t>
      </w:r>
      <w:r w:rsidRPr="00862D5A">
        <w:t xml:space="preserve">framework </w:t>
      </w:r>
      <w:r w:rsidRPr="00862D5A">
        <w:rPr>
          <w:bCs/>
          <w:color w:val="000000"/>
        </w:rPr>
        <w:t>is treated as a single subject for administration purposes</w:t>
      </w:r>
      <w:r>
        <w:rPr>
          <w:bCs/>
          <w:color w:val="000000"/>
        </w:rPr>
        <w:t xml:space="preserve">, </w:t>
      </w:r>
      <w:r w:rsidRPr="00862D5A">
        <w:rPr>
          <w:bCs/>
          <w:color w:val="000000"/>
        </w:rPr>
        <w:t>preclud</w:t>
      </w:r>
      <w:r>
        <w:rPr>
          <w:bCs/>
          <w:color w:val="000000"/>
        </w:rPr>
        <w:t>ing</w:t>
      </w:r>
      <w:r w:rsidRPr="00862D5A">
        <w:rPr>
          <w:bCs/>
          <w:color w:val="000000"/>
        </w:rPr>
        <w:t xml:space="preserve"> students from studying more than one Indigenous language</w:t>
      </w:r>
      <w:r>
        <w:rPr>
          <w:bCs/>
          <w:color w:val="000000"/>
        </w:rPr>
        <w:t xml:space="preserve"> at a time</w:t>
      </w:r>
      <w:r w:rsidRPr="00862D5A">
        <w:rPr>
          <w:bCs/>
          <w:color w:val="000000"/>
        </w:rPr>
        <w:t>.</w:t>
      </w:r>
    </w:p>
    <w:p w14:paraId="21CB872F" w14:textId="77777777" w:rsidR="006145A3" w:rsidRPr="00852D94" w:rsidRDefault="006145A3" w:rsidP="006145A3">
      <w:pPr>
        <w:pStyle w:val="Heading3"/>
        <w:numPr>
          <w:ilvl w:val="2"/>
          <w:numId w:val="22"/>
        </w:numPr>
      </w:pPr>
      <w:r w:rsidRPr="00852D94">
        <w:t xml:space="preserve">State and </w:t>
      </w:r>
      <w:r w:rsidRPr="00DE6C5F">
        <w:t>territory</w:t>
      </w:r>
      <w:r w:rsidRPr="00852D94">
        <w:t xml:space="preserve"> context</w:t>
      </w:r>
    </w:p>
    <w:p w14:paraId="180DD9AA" w14:textId="1D3B7EFD" w:rsidR="006145A3" w:rsidRPr="00994D95" w:rsidRDefault="006145A3" w:rsidP="006145A3">
      <w:pPr>
        <w:pStyle w:val="Para0"/>
      </w:pPr>
      <w:bookmarkStart w:id="127" w:name="_Toc32138003"/>
      <w:bookmarkEnd w:id="127"/>
      <w:r w:rsidRPr="00994D95">
        <w:rPr>
          <w:rStyle w:val="Heading4Char"/>
          <w:rFonts w:eastAsiaTheme="minorHAnsi" w:cstheme="minorBidi"/>
          <w:i w:val="0"/>
          <w:iCs w:val="0"/>
          <w:color w:val="000000" w:themeColor="text1"/>
        </w:rPr>
        <w:t xml:space="preserve">The Australian Capital Territory </w:t>
      </w:r>
      <w:r w:rsidRPr="00994D95">
        <w:t xml:space="preserve">has no specific legislation relating to Indigenous Australian languages or to education in Indigenous Australian languages. It has a general language services policy </w:t>
      </w:r>
      <w:sdt>
        <w:sdtPr>
          <w:id w:val="2060208430"/>
          <w:citation/>
        </w:sdtPr>
        <w:sdtEndPr/>
        <w:sdtContent>
          <w:r w:rsidR="00271823">
            <w:fldChar w:fldCharType="begin"/>
          </w:r>
          <w:r w:rsidR="00271823">
            <w:instrText xml:space="preserve"> CITATION Aus181 \l 2057 </w:instrText>
          </w:r>
          <w:r w:rsidR="00271823">
            <w:fldChar w:fldCharType="separate"/>
          </w:r>
          <w:r w:rsidR="00271823" w:rsidRPr="00271823">
            <w:rPr>
              <w:noProof/>
            </w:rPr>
            <w:t>(</w:t>
          </w:r>
          <w:bookmarkStart w:id="128" w:name="Aus181_72"/>
          <w:r w:rsidR="00271823" w:rsidRPr="00271823">
            <w:rPr>
              <w:noProof/>
            </w:rPr>
            <w:t>Australian Capital Territory Government, 2018</w:t>
          </w:r>
          <w:r w:rsidR="00271823" w:rsidRPr="00271823">
            <w:rPr>
              <w:noProof/>
              <w:vertAlign w:val="subscript"/>
            </w:rPr>
            <w:t>[72]</w:t>
          </w:r>
          <w:r w:rsidR="00271823" w:rsidRPr="00271823">
            <w:rPr>
              <w:noProof/>
            </w:rPr>
            <w:t>)</w:t>
          </w:r>
          <w:bookmarkEnd w:id="128"/>
          <w:r w:rsidR="00271823">
            <w:fldChar w:fldCharType="end"/>
          </w:r>
        </w:sdtContent>
      </w:sdt>
      <w:r w:rsidRPr="00994D95">
        <w:t xml:space="preserve"> whose focus is primarily on providing accessible services to first language speakers of languages other than English. It aims to "support people who communicate using a language other than English to maintain and develop skills in their first language" </w:t>
      </w:r>
      <w:sdt>
        <w:sdtPr>
          <w:id w:val="-1975895170"/>
          <w:citation/>
        </w:sdtPr>
        <w:sdtEndPr/>
        <w:sdtContent>
          <w:r w:rsidR="00271823">
            <w:fldChar w:fldCharType="begin"/>
          </w:r>
          <w:r w:rsidR="00271823">
            <w:instrText xml:space="preserve">CITATION Aus181 \p 3 \n  \y  \l 2057 </w:instrText>
          </w:r>
          <w:r w:rsidR="00271823">
            <w:fldChar w:fldCharType="separate"/>
          </w:r>
          <w:r w:rsidR="00271823" w:rsidRPr="00271823">
            <w:rPr>
              <w:noProof/>
            </w:rPr>
            <w:t>(p. 3</w:t>
          </w:r>
          <w:r w:rsidR="00271823" w:rsidRPr="00271823">
            <w:rPr>
              <w:noProof/>
              <w:vertAlign w:val="subscript"/>
            </w:rPr>
            <w:t>[72]</w:t>
          </w:r>
          <w:r w:rsidR="00271823" w:rsidRPr="00271823">
            <w:rPr>
              <w:noProof/>
            </w:rPr>
            <w:t>)</w:t>
          </w:r>
          <w:r w:rsidR="00271823">
            <w:fldChar w:fldCharType="end"/>
          </w:r>
        </w:sdtContent>
      </w:sdt>
      <w:r w:rsidRPr="00994D95">
        <w:t>, and also recognises the importance of Indigenous Australian languages.</w:t>
      </w:r>
    </w:p>
    <w:p w14:paraId="6663FC16" w14:textId="77777777" w:rsidR="006145A3" w:rsidRPr="00C40E4C" w:rsidRDefault="006145A3" w:rsidP="006145A3">
      <w:pPr>
        <w:pStyle w:val="Heading4"/>
        <w:numPr>
          <w:ilvl w:val="3"/>
          <w:numId w:val="22"/>
        </w:numPr>
        <w:rPr>
          <w:lang w:val="en-US"/>
        </w:rPr>
      </w:pPr>
      <w:bookmarkStart w:id="129" w:name="_Toc32138004"/>
      <w:bookmarkEnd w:id="129"/>
      <w:r>
        <w:rPr>
          <w:lang w:val="en-US"/>
        </w:rPr>
        <w:t>New South Wales</w:t>
      </w:r>
    </w:p>
    <w:p w14:paraId="24CAD413" w14:textId="77777777" w:rsidR="006145A3" w:rsidRPr="00994D95" w:rsidRDefault="006145A3" w:rsidP="006145A3">
      <w:pPr>
        <w:pStyle w:val="Para0"/>
      </w:pPr>
      <w:r w:rsidRPr="00994D95">
        <w:rPr>
          <w:rStyle w:val="Heading4Char"/>
          <w:rFonts w:eastAsiaTheme="minorHAnsi" w:cstheme="minorBidi"/>
          <w:i w:val="0"/>
          <w:iCs w:val="0"/>
          <w:color w:val="000000" w:themeColor="text1"/>
        </w:rPr>
        <w:t xml:space="preserve">New South Wales </w:t>
      </w:r>
      <w:r w:rsidRPr="00994D95">
        <w:t xml:space="preserve">is the only state to have specific legislation relating to Australian Indigenous languages and education in these languages: the </w:t>
      </w:r>
      <w:r w:rsidRPr="00802DDB">
        <w:rPr>
          <w:i/>
        </w:rPr>
        <w:t>Aboriginal Languages Act</w:t>
      </w:r>
      <w:r>
        <w:t> 2017 No </w:t>
      </w:r>
      <w:r w:rsidRPr="00994D95">
        <w:t>51 (</w:t>
      </w:r>
      <w:r w:rsidRPr="005C35BB">
        <w:t>State of New South Wales, 2017</w:t>
      </w:r>
      <w:r w:rsidRPr="00994D95">
        <w:t>). The Act,</w:t>
      </w:r>
      <w:r>
        <w:t xml:space="preserve"> which commenced in March </w:t>
      </w:r>
      <w:r w:rsidRPr="00994D95">
        <w:t xml:space="preserve">2020, established an Aboriginal Languages Trust to "promote effective Aboriginal language activities", including "education and employment opportunities in Aboriginal language activities". The first five-year strategic plan for the growth and nurturing of Aboriginal Languages is to be submitted to the Minister in early 2022. </w:t>
      </w:r>
    </w:p>
    <w:p w14:paraId="1436AEF4" w14:textId="0DE6B977" w:rsidR="006145A3" w:rsidRPr="002E5D2D" w:rsidRDefault="006145A3" w:rsidP="006145A3">
      <w:pPr>
        <w:pStyle w:val="Para0"/>
      </w:pPr>
      <w:r w:rsidRPr="002E5D2D">
        <w:t>OCHRE, the New South Wales Government's community-focused plan for Aboriginal Affairs</w:t>
      </w:r>
      <w:r w:rsidRPr="002E5D2D">
        <w:rPr>
          <w:color w:val="333333"/>
        </w:rPr>
        <w:t xml:space="preserve"> </w:t>
      </w:r>
      <w:sdt>
        <w:sdtPr>
          <w:rPr>
            <w:color w:val="333333"/>
          </w:rPr>
          <w:id w:val="-1726206495"/>
          <w:citation/>
        </w:sdtPr>
        <w:sdtEndPr/>
        <w:sdtContent>
          <w:r w:rsidR="0050057D">
            <w:rPr>
              <w:color w:val="333333"/>
            </w:rPr>
            <w:fldChar w:fldCharType="begin"/>
          </w:r>
          <w:r w:rsidR="0050057D">
            <w:rPr>
              <w:color w:val="333333"/>
            </w:rPr>
            <w:instrText xml:space="preserve">CITATION Dep132 \l 2057 </w:instrText>
          </w:r>
          <w:r w:rsidR="0050057D">
            <w:rPr>
              <w:color w:val="333333"/>
            </w:rPr>
            <w:fldChar w:fldCharType="separate"/>
          </w:r>
          <w:r w:rsidR="0050057D" w:rsidRPr="0050057D">
            <w:rPr>
              <w:noProof/>
              <w:color w:val="333333"/>
            </w:rPr>
            <w:t>(</w:t>
          </w:r>
          <w:bookmarkStart w:id="130" w:name="Dep132_73"/>
          <w:r w:rsidR="0050057D" w:rsidRPr="0050057D">
            <w:rPr>
              <w:noProof/>
              <w:color w:val="333333"/>
            </w:rPr>
            <w:t>Department of Aboriginal Affairs, 2013</w:t>
          </w:r>
          <w:r w:rsidR="0050057D" w:rsidRPr="0050057D">
            <w:rPr>
              <w:noProof/>
              <w:color w:val="333333"/>
              <w:vertAlign w:val="subscript"/>
            </w:rPr>
            <w:t>[73]</w:t>
          </w:r>
          <w:r w:rsidR="0050057D" w:rsidRPr="0050057D">
            <w:rPr>
              <w:noProof/>
              <w:color w:val="333333"/>
            </w:rPr>
            <w:t>)</w:t>
          </w:r>
          <w:bookmarkEnd w:id="130"/>
          <w:r w:rsidR="0050057D">
            <w:rPr>
              <w:color w:val="333333"/>
            </w:rPr>
            <w:fldChar w:fldCharType="end"/>
          </w:r>
        </w:sdtContent>
      </w:sdt>
      <w:r w:rsidRPr="002E5D2D">
        <w:t xml:space="preserve">, was released in 2013. Language </w:t>
      </w:r>
      <w:r w:rsidR="00802DDB">
        <w:t xml:space="preserve">revitalisation </w:t>
      </w:r>
      <w:r w:rsidRPr="002E5D2D">
        <w:t xml:space="preserve">is a key component of the plan. Since 2014, this policy has supported five language and culture nests across the state – an initiative </w:t>
      </w:r>
      <w:r w:rsidRPr="002E5D2D">
        <w:lastRenderedPageBreak/>
        <w:t xml:space="preserve">to support Indigenous languages across all levels of education and into vocational training and employment. </w:t>
      </w:r>
    </w:p>
    <w:p w14:paraId="10E27626" w14:textId="0FB27339" w:rsidR="006145A3" w:rsidRPr="002E5D2D" w:rsidRDefault="006145A3" w:rsidP="006145A3">
      <w:pPr>
        <w:pStyle w:val="Para0"/>
      </w:pPr>
      <w:r w:rsidRPr="002E5D2D">
        <w:t xml:space="preserve">New South Wales also has Aboriginal Languages syllabuses for K–10 (Board of Studies, New South Wales, 2003) and the final years of high school </w:t>
      </w:r>
      <w:sdt>
        <w:sdtPr>
          <w:id w:val="-371379460"/>
          <w:citation/>
        </w:sdtPr>
        <w:sdtEndPr/>
        <w:sdtContent>
          <w:r w:rsidR="0050057D">
            <w:fldChar w:fldCharType="begin"/>
          </w:r>
          <w:r w:rsidR="0050057D">
            <w:instrText xml:space="preserve"> CITATION Boa15 \l 2057 </w:instrText>
          </w:r>
          <w:r w:rsidR="0050057D">
            <w:fldChar w:fldCharType="separate"/>
          </w:r>
          <w:r w:rsidR="0050057D" w:rsidRPr="0050057D">
            <w:rPr>
              <w:noProof/>
            </w:rPr>
            <w:t>(</w:t>
          </w:r>
          <w:bookmarkStart w:id="131" w:name="Boa15_74"/>
          <w:r w:rsidR="0050057D" w:rsidRPr="0050057D">
            <w:rPr>
              <w:noProof/>
            </w:rPr>
            <w:t>Board of Studies, New South Wales, 2015</w:t>
          </w:r>
          <w:r w:rsidR="0050057D" w:rsidRPr="0050057D">
            <w:rPr>
              <w:noProof/>
              <w:vertAlign w:val="subscript"/>
            </w:rPr>
            <w:t>[74]</w:t>
          </w:r>
          <w:r w:rsidR="0050057D" w:rsidRPr="0050057D">
            <w:rPr>
              <w:noProof/>
            </w:rPr>
            <w:t>)</w:t>
          </w:r>
          <w:bookmarkEnd w:id="131"/>
          <w:r w:rsidR="0050057D">
            <w:fldChar w:fldCharType="end"/>
          </w:r>
        </w:sdtContent>
      </w:sdt>
      <w:r w:rsidRPr="002E5D2D">
        <w:t>. Both syllabuses recognise the importance of guidance from local Australian Aboriginal knowledge holders. This state has the highest numbers of Indigenous residents. Indigenous languages in this state are all in a range of revival contexts.</w:t>
      </w:r>
    </w:p>
    <w:p w14:paraId="5ADB496C" w14:textId="77777777" w:rsidR="006145A3" w:rsidRPr="00C40E4C" w:rsidRDefault="006145A3" w:rsidP="006145A3">
      <w:pPr>
        <w:pStyle w:val="Heading4"/>
        <w:numPr>
          <w:ilvl w:val="3"/>
          <w:numId w:val="22"/>
        </w:numPr>
        <w:rPr>
          <w:lang w:val="en-US"/>
        </w:rPr>
      </w:pPr>
      <w:bookmarkStart w:id="132" w:name="_Toc32138005"/>
      <w:bookmarkEnd w:id="132"/>
      <w:r>
        <w:rPr>
          <w:lang w:val="en-US"/>
        </w:rPr>
        <w:t>Northern Territory</w:t>
      </w:r>
    </w:p>
    <w:p w14:paraId="299CA83A" w14:textId="4FEDDF26" w:rsidR="006145A3" w:rsidRPr="00994D95" w:rsidRDefault="006145A3" w:rsidP="006145A3">
      <w:pPr>
        <w:pStyle w:val="Para0"/>
      </w:pPr>
      <w:r w:rsidRPr="00994D95">
        <w:rPr>
          <w:rStyle w:val="Heading4Char"/>
          <w:rFonts w:eastAsiaTheme="minorHAnsi" w:cstheme="minorBidi"/>
          <w:i w:val="0"/>
          <w:iCs w:val="0"/>
          <w:color w:val="000000" w:themeColor="text1"/>
        </w:rPr>
        <w:t xml:space="preserve">The Northern Territory </w:t>
      </w:r>
      <w:r w:rsidRPr="00994D95">
        <w:t>has a long history of mother tongue medium education</w:t>
      </w:r>
      <w:r w:rsidR="00802DDB">
        <w:t xml:space="preserve"> in some remote Aboriginal language speaking communities</w:t>
      </w:r>
      <w:r w:rsidRPr="00994D95">
        <w:t>, although more recently first language enrichment programmes have been on the increase. After consideration of the Australian Curriculum, Assessment and Reporting Authority framework and its own earlier curriculum frameworks, t</w:t>
      </w:r>
      <w:r w:rsidRPr="00994D95">
        <w:rPr>
          <w:rStyle w:val="Heading4Char"/>
          <w:rFonts w:eastAsiaTheme="minorHAnsi" w:cstheme="minorBidi"/>
          <w:i w:val="0"/>
          <w:iCs w:val="0"/>
          <w:color w:val="000000" w:themeColor="text1"/>
        </w:rPr>
        <w:t>he Northern Territory</w:t>
      </w:r>
      <w:r w:rsidRPr="00994D95">
        <w:t xml:space="preserve"> developed its framework Keeping Indigenous languages and cultures strong: A plan for the teaching and learning of Indigenous languages and cultures in Northern Territory schools </w:t>
      </w:r>
      <w:sdt>
        <w:sdtPr>
          <w:id w:val="560831449"/>
          <w:citation/>
        </w:sdtPr>
        <w:sdtEndPr/>
        <w:sdtContent>
          <w:r w:rsidR="00005E6F">
            <w:fldChar w:fldCharType="begin"/>
          </w:r>
          <w:r w:rsidR="00005E6F">
            <w:instrText xml:space="preserve">CITATION Nor16 \l 2057 </w:instrText>
          </w:r>
          <w:r w:rsidR="00005E6F">
            <w:fldChar w:fldCharType="separate"/>
          </w:r>
          <w:r w:rsidR="00005E6F" w:rsidRPr="00005E6F">
            <w:rPr>
              <w:noProof/>
            </w:rPr>
            <w:t>(</w:t>
          </w:r>
          <w:bookmarkStart w:id="133" w:name="Nor16_75"/>
          <w:r w:rsidR="00005E6F" w:rsidRPr="00005E6F">
            <w:rPr>
              <w:noProof/>
            </w:rPr>
            <w:t>Northern Territory Board of Studies, 2016</w:t>
          </w:r>
          <w:r w:rsidR="00005E6F" w:rsidRPr="00005E6F">
            <w:rPr>
              <w:noProof/>
              <w:vertAlign w:val="subscript"/>
            </w:rPr>
            <w:t>[75]</w:t>
          </w:r>
          <w:r w:rsidR="00005E6F" w:rsidRPr="00005E6F">
            <w:rPr>
              <w:noProof/>
            </w:rPr>
            <w:t>)</w:t>
          </w:r>
          <w:bookmarkEnd w:id="133"/>
          <w:r w:rsidR="00005E6F">
            <w:fldChar w:fldCharType="end"/>
          </w:r>
        </w:sdtContent>
      </w:sdt>
      <w:r w:rsidRPr="00994D95">
        <w:t xml:space="preserve">. The framework has a first language pathway (with </w:t>
      </w:r>
      <w:r w:rsidR="00802DDB">
        <w:t xml:space="preserve">both </w:t>
      </w:r>
      <w:r w:rsidRPr="00994D95">
        <w:t xml:space="preserve">a general mother tongue medium instruction pathway and a maintenance pathway), a revitalisation, revival and renewal pathway, a second language (off-country) pathway and a language and cultural awareness pathway. </w:t>
      </w:r>
      <w:r w:rsidR="00802DDB">
        <w:t xml:space="preserve">As well as comprehensive outlines for each pathway, there is a suite of documents supporting school implementation, stakeholder engagement and programme agreement. </w:t>
      </w:r>
    </w:p>
    <w:p w14:paraId="79EE7370" w14:textId="2A4D1A16" w:rsidR="006145A3" w:rsidRPr="00862D5A" w:rsidRDefault="006145A3" w:rsidP="006145A3">
      <w:pPr>
        <w:pStyle w:val="Para0"/>
      </w:pPr>
      <w:r w:rsidRPr="00DF7202">
        <w:t>The Northern Territory</w:t>
      </w:r>
      <w:r w:rsidRPr="00DF7202">
        <w:rPr>
          <w:i/>
          <w:iCs/>
        </w:rPr>
        <w:t xml:space="preserve"> </w:t>
      </w:r>
      <w:r w:rsidRPr="00DF7202">
        <w:t>has the highest proportion</w:t>
      </w:r>
      <w:r w:rsidRPr="00862D5A">
        <w:t xml:space="preserve"> of Indigenous peoples per head of population of all Australian state</w:t>
      </w:r>
      <w:r>
        <w:t>s and territories. Most of the “</w:t>
      </w:r>
      <w:r w:rsidRPr="00862D5A">
        <w:t>strong</w:t>
      </w:r>
      <w:r>
        <w:t>”</w:t>
      </w:r>
      <w:r w:rsidRPr="00862D5A">
        <w:t xml:space="preserve"> </w:t>
      </w:r>
      <w:r w:rsidR="00802DDB">
        <w:t xml:space="preserve">traditional </w:t>
      </w:r>
      <w:r w:rsidRPr="00862D5A">
        <w:t>Indigenous languages are spoken</w:t>
      </w:r>
      <w:r w:rsidR="00802DDB">
        <w:t>, as well as Kriol and a number of other new Indigenous languages</w:t>
      </w:r>
      <w:r w:rsidRPr="00862D5A">
        <w:t>. Over half the Aboriginal population state in the Census that they speak an Aboriginal language in the home. Half of the total number of st</w:t>
      </w:r>
      <w:r>
        <w:t>ate schools have the status of “</w:t>
      </w:r>
      <w:r w:rsidRPr="00862D5A">
        <w:t>very remote</w:t>
      </w:r>
      <w:r>
        <w:t>”</w:t>
      </w:r>
      <w:r w:rsidRPr="00862D5A">
        <w:t xml:space="preserve"> adding extra challenges for service provision, including professional development.</w:t>
      </w:r>
    </w:p>
    <w:p w14:paraId="4BCF7CA2" w14:textId="7749224A" w:rsidR="006145A3" w:rsidRPr="00862D5A" w:rsidRDefault="006145A3" w:rsidP="006145A3">
      <w:pPr>
        <w:pStyle w:val="Para0"/>
      </w:pPr>
      <w:r w:rsidRPr="00862D5A">
        <w:t>The long</w:t>
      </w:r>
      <w:r>
        <w:t>-</w:t>
      </w:r>
      <w:r w:rsidRPr="00862D5A">
        <w:t xml:space="preserve">standing bilingual programmes suffered some setbacks over the last two decades, particularly as a result of washback from </w:t>
      </w:r>
      <w:r w:rsidR="00802DDB">
        <w:t xml:space="preserve">the </w:t>
      </w:r>
      <w:r w:rsidRPr="00862D5A">
        <w:t>hasty interpretation of results from national standardised tests of literacy</w:t>
      </w:r>
      <w:r>
        <w:t xml:space="preserve"> </w:t>
      </w:r>
      <w:r w:rsidRPr="00862D5A">
        <w:t>(in</w:t>
      </w:r>
      <w:r>
        <w:t xml:space="preserve"> </w:t>
      </w:r>
      <w:r w:rsidRPr="00862D5A">
        <w:t>English) and numeracy(in</w:t>
      </w:r>
      <w:r>
        <w:t xml:space="preserve"> </w:t>
      </w:r>
      <w:r w:rsidRPr="00862D5A">
        <w:t xml:space="preserve">English) </w:t>
      </w:r>
      <w:sdt>
        <w:sdtPr>
          <w:id w:val="-1485082879"/>
          <w:citation/>
        </w:sdtPr>
        <w:sdtEndPr/>
        <w:sdtContent>
          <w:r w:rsidR="00005E6F">
            <w:fldChar w:fldCharType="begin"/>
          </w:r>
          <w:r w:rsidR="00005E6F">
            <w:instrText xml:space="preserve">CITATION Sim09 \l 2057 </w:instrText>
          </w:r>
          <w:r w:rsidR="00005E6F">
            <w:fldChar w:fldCharType="separate"/>
          </w:r>
          <w:r w:rsidR="00005E6F" w:rsidRPr="00005E6F">
            <w:rPr>
              <w:noProof/>
            </w:rPr>
            <w:t>(</w:t>
          </w:r>
          <w:bookmarkStart w:id="134" w:name="Sim09_76"/>
          <w:r w:rsidR="00005E6F" w:rsidRPr="00005E6F">
            <w:rPr>
              <w:noProof/>
            </w:rPr>
            <w:t>Simpson, J.; Caffery, J.; McConvell, P., 2009</w:t>
          </w:r>
          <w:r w:rsidR="00005E6F" w:rsidRPr="00005E6F">
            <w:rPr>
              <w:noProof/>
              <w:vertAlign w:val="subscript"/>
            </w:rPr>
            <w:t>[76]</w:t>
          </w:r>
          <w:r w:rsidR="00005E6F" w:rsidRPr="00005E6F">
            <w:rPr>
              <w:noProof/>
            </w:rPr>
            <w:t>)</w:t>
          </w:r>
          <w:bookmarkEnd w:id="134"/>
          <w:r w:rsidR="00005E6F">
            <w:fldChar w:fldCharType="end"/>
          </w:r>
        </w:sdtContent>
      </w:sdt>
      <w:r w:rsidRPr="00862D5A">
        <w:t>. In 2017, only 9</w:t>
      </w:r>
      <w:r>
        <w:t> </w:t>
      </w:r>
      <w:r w:rsidRPr="00862D5A">
        <w:t xml:space="preserve">schools remained officially funded and staffed as bilingual schools </w:t>
      </w:r>
      <w:sdt>
        <w:sdtPr>
          <w:id w:val="-1147585126"/>
          <w:citation/>
        </w:sdtPr>
        <w:sdtEndPr/>
        <w:sdtContent>
          <w:r w:rsidR="00882781">
            <w:fldChar w:fldCharType="begin"/>
          </w:r>
          <w:r w:rsidR="00882781">
            <w:instrText xml:space="preserve">CITATION Gov191 \l 2057 </w:instrText>
          </w:r>
          <w:r w:rsidR="00882781">
            <w:fldChar w:fldCharType="separate"/>
          </w:r>
          <w:r w:rsidR="00882781" w:rsidRPr="00882781">
            <w:rPr>
              <w:noProof/>
            </w:rPr>
            <w:t>(</w:t>
          </w:r>
          <w:bookmarkStart w:id="135" w:name="Gov191_77"/>
          <w:r w:rsidR="00882781" w:rsidRPr="00882781">
            <w:rPr>
              <w:noProof/>
            </w:rPr>
            <w:t>Devlin, 2019</w:t>
          </w:r>
          <w:r w:rsidR="00882781" w:rsidRPr="00882781">
            <w:rPr>
              <w:noProof/>
              <w:vertAlign w:val="subscript"/>
            </w:rPr>
            <w:t>[77]</w:t>
          </w:r>
          <w:r w:rsidR="00882781" w:rsidRPr="00882781">
            <w:rPr>
              <w:noProof/>
            </w:rPr>
            <w:t>)</w:t>
          </w:r>
          <w:bookmarkEnd w:id="135"/>
          <w:r w:rsidR="00882781">
            <w:fldChar w:fldCharType="end"/>
          </w:r>
        </w:sdtContent>
      </w:sdt>
      <w:r w:rsidRPr="00862D5A">
        <w:t xml:space="preserve">; in 2018 this was reported to be 7 </w:t>
      </w:r>
      <w:sdt>
        <w:sdtPr>
          <w:id w:val="1783605418"/>
          <w:citation/>
        </w:sdtPr>
        <w:sdtEndPr/>
        <w:sdtContent>
          <w:r w:rsidR="00882781">
            <w:fldChar w:fldCharType="begin"/>
          </w:r>
          <w:r w:rsidR="00882781">
            <w:instrText xml:space="preserve">CITATION Fir181 \l 2057 </w:instrText>
          </w:r>
          <w:r w:rsidR="00882781">
            <w:fldChar w:fldCharType="separate"/>
          </w:r>
          <w:r w:rsidR="00882781" w:rsidRPr="00882781">
            <w:rPr>
              <w:noProof/>
            </w:rPr>
            <w:t>(</w:t>
          </w:r>
          <w:bookmarkStart w:id="136" w:name="Fir181_78"/>
          <w:r w:rsidR="00882781" w:rsidRPr="00882781">
            <w:rPr>
              <w:noProof/>
            </w:rPr>
            <w:t>First Languages Australia, 2018</w:t>
          </w:r>
          <w:r w:rsidR="00882781" w:rsidRPr="00882781">
            <w:rPr>
              <w:noProof/>
              <w:vertAlign w:val="subscript"/>
            </w:rPr>
            <w:t>[78]</w:t>
          </w:r>
          <w:r w:rsidR="00882781" w:rsidRPr="00882781">
            <w:rPr>
              <w:noProof/>
            </w:rPr>
            <w:t>)</w:t>
          </w:r>
          <w:bookmarkEnd w:id="136"/>
          <w:r w:rsidR="00882781">
            <w:fldChar w:fldCharType="end"/>
          </w:r>
        </w:sdtContent>
      </w:sdt>
      <w:r w:rsidRPr="00862D5A">
        <w:t xml:space="preserve">. </w:t>
      </w:r>
    </w:p>
    <w:p w14:paraId="71ED30E2" w14:textId="77777777" w:rsidR="006145A3" w:rsidRPr="00C40E4C" w:rsidRDefault="006145A3" w:rsidP="006145A3">
      <w:pPr>
        <w:pStyle w:val="Heading4"/>
        <w:numPr>
          <w:ilvl w:val="3"/>
          <w:numId w:val="22"/>
        </w:numPr>
        <w:rPr>
          <w:lang w:val="en-US"/>
        </w:rPr>
      </w:pPr>
      <w:bookmarkStart w:id="137" w:name="_Toc32138006"/>
      <w:bookmarkEnd w:id="137"/>
      <w:r w:rsidRPr="00DE6C5F">
        <w:t>Queensland</w:t>
      </w:r>
    </w:p>
    <w:p w14:paraId="33794CBB" w14:textId="095A70F4" w:rsidR="006145A3" w:rsidRPr="00862D5A" w:rsidRDefault="006145A3" w:rsidP="006145A3">
      <w:pPr>
        <w:pStyle w:val="Para0"/>
      </w:pPr>
      <w:r w:rsidRPr="00862D5A">
        <w:t xml:space="preserve">In </w:t>
      </w:r>
      <w:r w:rsidRPr="00F23ED0">
        <w:rPr>
          <w:bCs/>
        </w:rPr>
        <w:t>Queensland, the</w:t>
      </w:r>
      <w:r w:rsidRPr="00862D5A">
        <w:t xml:space="preserve"> P-10 syllabus for Aboriginal and Torres Strait Islander languages recognises two broad pathways: language maintenance and language revitalisation </w:t>
      </w:r>
      <w:sdt>
        <w:sdtPr>
          <w:id w:val="239521571"/>
          <w:citation/>
        </w:sdtPr>
        <w:sdtEndPr/>
        <w:sdtContent>
          <w:r w:rsidR="00882781">
            <w:fldChar w:fldCharType="begin"/>
          </w:r>
          <w:r w:rsidR="00882781">
            <w:instrText xml:space="preserve">CITATION Que10 \l 2057 </w:instrText>
          </w:r>
          <w:r w:rsidR="00882781">
            <w:fldChar w:fldCharType="separate"/>
          </w:r>
          <w:r w:rsidR="00882781" w:rsidRPr="00882781">
            <w:rPr>
              <w:noProof/>
            </w:rPr>
            <w:t>(</w:t>
          </w:r>
          <w:bookmarkStart w:id="138" w:name="Que10_79"/>
          <w:r w:rsidR="00882781" w:rsidRPr="00882781">
            <w:rPr>
              <w:noProof/>
            </w:rPr>
            <w:t>Queensland Studies Authority, 2010</w:t>
          </w:r>
          <w:r w:rsidR="00882781" w:rsidRPr="00882781">
            <w:rPr>
              <w:noProof/>
              <w:vertAlign w:val="subscript"/>
            </w:rPr>
            <w:t>[79]</w:t>
          </w:r>
          <w:r w:rsidR="00882781" w:rsidRPr="00882781">
            <w:rPr>
              <w:noProof/>
            </w:rPr>
            <w:t>)</w:t>
          </w:r>
          <w:bookmarkEnd w:id="138"/>
          <w:r w:rsidR="00882781">
            <w:fldChar w:fldCharType="end"/>
          </w:r>
        </w:sdtContent>
      </w:sdt>
      <w:r w:rsidRPr="00862D5A">
        <w:t xml:space="preserve">. The </w:t>
      </w:r>
      <w:r w:rsidRPr="00862D5A">
        <w:rPr>
          <w:i/>
        </w:rPr>
        <w:t>2018 Aboriginal and Torres Strait Islander Languages</w:t>
      </w:r>
      <w:r w:rsidRPr="00862D5A">
        <w:t xml:space="preserve"> statement </w:t>
      </w:r>
      <w:sdt>
        <w:sdtPr>
          <w:id w:val="-627085987"/>
          <w:citation/>
        </w:sdtPr>
        <w:sdtEndPr/>
        <w:sdtContent>
          <w:r w:rsidR="00882781">
            <w:fldChar w:fldCharType="begin"/>
          </w:r>
          <w:r w:rsidR="00882781">
            <w:instrText xml:space="preserve"> CITATION Dep18 \l 2057 </w:instrText>
          </w:r>
          <w:r w:rsidR="00882781">
            <w:fldChar w:fldCharType="separate"/>
          </w:r>
          <w:r w:rsidR="00882781" w:rsidRPr="00882781">
            <w:rPr>
              <w:noProof/>
            </w:rPr>
            <w:t>(</w:t>
          </w:r>
          <w:bookmarkStart w:id="139" w:name="Dep18_80"/>
          <w:r w:rsidR="00882781" w:rsidRPr="00882781">
            <w:rPr>
              <w:noProof/>
            </w:rPr>
            <w:t>Department of Education, Queensland, 2018</w:t>
          </w:r>
          <w:r w:rsidR="00882781" w:rsidRPr="00882781">
            <w:rPr>
              <w:noProof/>
              <w:vertAlign w:val="subscript"/>
            </w:rPr>
            <w:t>[80]</w:t>
          </w:r>
          <w:r w:rsidR="00882781" w:rsidRPr="00882781">
            <w:rPr>
              <w:noProof/>
            </w:rPr>
            <w:t>)</w:t>
          </w:r>
          <w:bookmarkEnd w:id="139"/>
          <w:r w:rsidR="00882781">
            <w:fldChar w:fldCharType="end"/>
          </w:r>
        </w:sdtContent>
      </w:sdt>
      <w:r w:rsidRPr="00862D5A">
        <w:t xml:space="preserve"> supports multilingualism as an educational outcome for Indigenous students, and embraces proficiency in traditional languages, new (contact) languages and English. It acknowledges the importance of recognising new contact languages where they are spoken </w:t>
      </w:r>
      <w:r>
        <w:t>within</w:t>
      </w:r>
      <w:r w:rsidRPr="00862D5A">
        <w:t xml:space="preserve"> communit</w:t>
      </w:r>
      <w:r>
        <w:t>ies</w:t>
      </w:r>
      <w:r w:rsidRPr="00862D5A">
        <w:t xml:space="preserve">, the need to teach English explicitly to </w:t>
      </w:r>
      <w:r w:rsidRPr="00B87DD2">
        <w:t>mother tongue/first language</w:t>
      </w:r>
      <w:r w:rsidRPr="00852D94">
        <w:t xml:space="preserve"> </w:t>
      </w:r>
      <w:r w:rsidRPr="00862D5A">
        <w:t xml:space="preserve">speakers of Indigenous languages, and the role of schools to support communities in maintaining, revitalising and reclaiming traditional Indigenous languages. It is silent on the subject of language pedagogies, including mother tongue medium instruction in school. </w:t>
      </w:r>
      <w:bookmarkStart w:id="140" w:name="_Toc32138007"/>
      <w:bookmarkEnd w:id="140"/>
      <w:r w:rsidRPr="00862D5A">
        <w:t xml:space="preserve">An early years curriculum for Indigenous pre-schoolers, </w:t>
      </w:r>
      <w:r w:rsidRPr="00862D5A">
        <w:rPr>
          <w:i/>
          <w:iCs/>
        </w:rPr>
        <w:t>Foundations for Success</w:t>
      </w:r>
      <w:r w:rsidRPr="00862D5A">
        <w:t>, encourages including first language/mother tongue medium instruction in the kindergarten year (</w:t>
      </w:r>
      <w:r w:rsidRPr="005C35BB">
        <w:t>Department of Education Training and Employment, 2013: 5</w:t>
      </w:r>
      <w:r w:rsidRPr="00862D5A">
        <w:t>).</w:t>
      </w:r>
    </w:p>
    <w:p w14:paraId="4F817ADF" w14:textId="4924DF91" w:rsidR="006145A3" w:rsidRPr="00862D5A" w:rsidRDefault="006145A3" w:rsidP="006145A3">
      <w:pPr>
        <w:pStyle w:val="Para0"/>
      </w:pPr>
      <w:r w:rsidRPr="00F23ED0">
        <w:rPr>
          <w:bCs/>
        </w:rPr>
        <w:t>Queensland</w:t>
      </w:r>
      <w:r w:rsidRPr="00862D5A">
        <w:t xml:space="preserve"> includes the traditional lands and seas belonging to both </w:t>
      </w:r>
      <w:r w:rsidR="00802DDB">
        <w:t xml:space="preserve">of </w:t>
      </w:r>
      <w:r w:rsidRPr="00862D5A">
        <w:t xml:space="preserve">Australia's Indigenous cultural groups: Aboriginal peoples and Torres Strait Islanders. A few traditional Indigenous languages are learned </w:t>
      </w:r>
      <w:r w:rsidRPr="00862D5A">
        <w:lastRenderedPageBreak/>
        <w:t xml:space="preserve">as first languages by children, but most are in a revival context, spoken by an older generation or else being reawakened. There is a growing awareness of the new Indigenous languages in this state, which have arisen through language contact processes. Of these contact languages, only Yumplatok/Torres Strait Creole has </w:t>
      </w:r>
      <w:r w:rsidR="00802DDB">
        <w:t xml:space="preserve">relatively consistent </w:t>
      </w:r>
      <w:r w:rsidRPr="00862D5A">
        <w:t>recognition</w:t>
      </w:r>
      <w:r w:rsidR="00802DDB">
        <w:t xml:space="preserve"> in official documents</w:t>
      </w:r>
      <w:r w:rsidRPr="00862D5A">
        <w:t xml:space="preserve">.  </w:t>
      </w:r>
    </w:p>
    <w:p w14:paraId="3553AE28" w14:textId="77777777" w:rsidR="006145A3" w:rsidRPr="00C40E4C" w:rsidRDefault="006145A3" w:rsidP="006145A3">
      <w:pPr>
        <w:pStyle w:val="Heading4"/>
        <w:numPr>
          <w:ilvl w:val="3"/>
          <w:numId w:val="22"/>
        </w:numPr>
        <w:rPr>
          <w:lang w:val="en-US"/>
        </w:rPr>
      </w:pPr>
      <w:r w:rsidRPr="00DE6C5F">
        <w:t>South</w:t>
      </w:r>
      <w:r>
        <w:rPr>
          <w:lang w:val="en-US"/>
        </w:rPr>
        <w:t xml:space="preserve"> Australia</w:t>
      </w:r>
    </w:p>
    <w:p w14:paraId="664CF2A5" w14:textId="5FC8A260" w:rsidR="006145A3" w:rsidRPr="00735FD5" w:rsidRDefault="006145A3" w:rsidP="006145A3">
      <w:pPr>
        <w:pStyle w:val="Para0"/>
      </w:pPr>
      <w:r w:rsidRPr="00735FD5">
        <w:rPr>
          <w:rStyle w:val="Heading4Char"/>
          <w:rFonts w:eastAsiaTheme="minorHAnsi" w:cstheme="minorBidi"/>
          <w:i w:val="0"/>
          <w:iCs w:val="0"/>
          <w:color w:val="000000" w:themeColor="text1"/>
        </w:rPr>
        <w:t xml:space="preserve">In South Australia, </w:t>
      </w:r>
      <w:r w:rsidRPr="00735FD5">
        <w:t xml:space="preserve">the Aboriginal education strategy 2019-2029 </w:t>
      </w:r>
      <w:sdt>
        <w:sdtPr>
          <w:id w:val="474413118"/>
          <w:citation/>
        </w:sdtPr>
        <w:sdtEndPr/>
        <w:sdtContent>
          <w:r w:rsidR="00882781">
            <w:fldChar w:fldCharType="begin"/>
          </w:r>
          <w:r w:rsidR="00882781">
            <w:instrText xml:space="preserve"> CITATION Dep181 \l 2057 </w:instrText>
          </w:r>
          <w:r w:rsidR="00882781">
            <w:fldChar w:fldCharType="separate"/>
          </w:r>
          <w:r w:rsidR="00882781" w:rsidRPr="00882781">
            <w:rPr>
              <w:noProof/>
            </w:rPr>
            <w:t>(</w:t>
          </w:r>
          <w:bookmarkStart w:id="141" w:name="Dep181_81"/>
          <w:r w:rsidR="00882781" w:rsidRPr="00882781">
            <w:rPr>
              <w:noProof/>
            </w:rPr>
            <w:t>Department of Education, South Australia, 2018</w:t>
          </w:r>
          <w:r w:rsidR="00882781" w:rsidRPr="00882781">
            <w:rPr>
              <w:noProof/>
              <w:vertAlign w:val="subscript"/>
            </w:rPr>
            <w:t>[81]</w:t>
          </w:r>
          <w:r w:rsidR="00882781" w:rsidRPr="00882781">
            <w:rPr>
              <w:noProof/>
            </w:rPr>
            <w:t>)</w:t>
          </w:r>
          <w:bookmarkEnd w:id="141"/>
          <w:r w:rsidR="00882781">
            <w:fldChar w:fldCharType="end"/>
          </w:r>
        </w:sdtContent>
      </w:sdt>
      <w:r w:rsidRPr="00735FD5">
        <w:t xml:space="preserve">, recognises that "Aboriginal people have the right to access an education that respects and promotes their own culture and language" </w:t>
      </w:r>
      <w:sdt>
        <w:sdtPr>
          <w:id w:val="-840229968"/>
          <w:citation/>
        </w:sdtPr>
        <w:sdtEndPr/>
        <w:sdtContent>
          <w:r w:rsidR="00882781">
            <w:fldChar w:fldCharType="begin"/>
          </w:r>
          <w:r w:rsidR="00882781">
            <w:instrText xml:space="preserve">CITATION Dep181 \p 10 \n  \y  \l 2057 </w:instrText>
          </w:r>
          <w:r w:rsidR="00882781">
            <w:fldChar w:fldCharType="separate"/>
          </w:r>
          <w:r w:rsidR="00882781" w:rsidRPr="00882781">
            <w:rPr>
              <w:noProof/>
            </w:rPr>
            <w:t>(p. 10</w:t>
          </w:r>
          <w:r w:rsidR="00882781" w:rsidRPr="00882781">
            <w:rPr>
              <w:noProof/>
              <w:vertAlign w:val="subscript"/>
            </w:rPr>
            <w:t>[81]</w:t>
          </w:r>
          <w:r w:rsidR="00882781" w:rsidRPr="00882781">
            <w:rPr>
              <w:noProof/>
            </w:rPr>
            <w:t>)</w:t>
          </w:r>
          <w:r w:rsidR="00882781">
            <w:fldChar w:fldCharType="end"/>
          </w:r>
        </w:sdtContent>
      </w:sdt>
      <w:r w:rsidRPr="00735FD5">
        <w:t xml:space="preserve">. It recognises language revival learner pathways, and proposes moving "toward a bilingual education model that ensures proficiency for Anangu children in Pitjantjatjara or Yankunytjatjara and Standard Australian English as an additional language" </w:t>
      </w:r>
      <w:sdt>
        <w:sdtPr>
          <w:id w:val="-1906217178"/>
          <w:citation/>
        </w:sdtPr>
        <w:sdtEndPr/>
        <w:sdtContent>
          <w:r w:rsidR="00882781">
            <w:fldChar w:fldCharType="begin"/>
          </w:r>
          <w:r w:rsidR="00882781">
            <w:instrText xml:space="preserve">CITATION Dep181 \p 19 \n  \y  \l 2057 </w:instrText>
          </w:r>
          <w:r w:rsidR="00882781">
            <w:fldChar w:fldCharType="separate"/>
          </w:r>
          <w:r w:rsidR="00882781" w:rsidRPr="00882781">
            <w:rPr>
              <w:noProof/>
            </w:rPr>
            <w:t>(p. 19</w:t>
          </w:r>
          <w:r w:rsidR="00882781" w:rsidRPr="00882781">
            <w:rPr>
              <w:noProof/>
              <w:vertAlign w:val="subscript"/>
            </w:rPr>
            <w:t>[81]</w:t>
          </w:r>
          <w:r w:rsidR="00882781" w:rsidRPr="00882781">
            <w:rPr>
              <w:noProof/>
            </w:rPr>
            <w:t>)</w:t>
          </w:r>
          <w:r w:rsidR="00882781">
            <w:fldChar w:fldCharType="end"/>
          </w:r>
        </w:sdtContent>
      </w:sdt>
      <w:r w:rsidRPr="00735FD5">
        <w:t>.</w:t>
      </w:r>
    </w:p>
    <w:p w14:paraId="31059409" w14:textId="26EF0013" w:rsidR="006145A3" w:rsidRPr="00862D5A" w:rsidRDefault="006145A3" w:rsidP="006145A3">
      <w:pPr>
        <w:pStyle w:val="Para0"/>
      </w:pPr>
      <w:r w:rsidRPr="00862D5A">
        <w:t xml:space="preserve">The state has a strong history of support for Indigenous languages in schools over the last few decades, in terms of the development of curriculum materials. The ground-breaking framework </w:t>
      </w:r>
      <w:r w:rsidRPr="00862D5A">
        <w:rPr>
          <w:i/>
        </w:rPr>
        <w:t xml:space="preserve">Australia's Indigenous Languages </w:t>
      </w:r>
      <w:sdt>
        <w:sdtPr>
          <w:rPr>
            <w:i/>
          </w:rPr>
          <w:id w:val="-608733911"/>
          <w:citation/>
        </w:sdtPr>
        <w:sdtEndPr/>
        <w:sdtContent>
          <w:r w:rsidR="00590065">
            <w:rPr>
              <w:i/>
            </w:rPr>
            <w:fldChar w:fldCharType="begin"/>
          </w:r>
          <w:r w:rsidR="00590065">
            <w:rPr>
              <w:i/>
            </w:rPr>
            <w:instrText xml:space="preserve"> CITATION Dep96 \l 2057 </w:instrText>
          </w:r>
          <w:r w:rsidR="00590065">
            <w:rPr>
              <w:i/>
            </w:rPr>
            <w:fldChar w:fldCharType="separate"/>
          </w:r>
          <w:r w:rsidR="00590065" w:rsidRPr="00590065">
            <w:rPr>
              <w:noProof/>
            </w:rPr>
            <w:t>(</w:t>
          </w:r>
          <w:bookmarkStart w:id="142" w:name="Dep96_82"/>
          <w:r w:rsidR="00590065" w:rsidRPr="00590065">
            <w:rPr>
              <w:noProof/>
            </w:rPr>
            <w:t>Department of Employment Education Training and Youth Affairs, 1996</w:t>
          </w:r>
          <w:r w:rsidR="00590065" w:rsidRPr="00590065">
            <w:rPr>
              <w:noProof/>
              <w:vertAlign w:val="subscript"/>
            </w:rPr>
            <w:t>[82]</w:t>
          </w:r>
          <w:r w:rsidR="00590065" w:rsidRPr="00590065">
            <w:rPr>
              <w:noProof/>
            </w:rPr>
            <w:t>)</w:t>
          </w:r>
          <w:bookmarkEnd w:id="142"/>
          <w:r w:rsidR="00590065">
            <w:rPr>
              <w:i/>
            </w:rPr>
            <w:fldChar w:fldCharType="end"/>
          </w:r>
        </w:sdtContent>
      </w:sdt>
      <w:r w:rsidRPr="00862D5A">
        <w:t xml:space="preserve"> addressed the gap in accredited Indigenous languages subjects for the senior secondary years. Lan</w:t>
      </w:r>
      <w:r>
        <w:t xml:space="preserve">guage contexts here range from “strong” </w:t>
      </w:r>
      <w:r w:rsidRPr="00862D5A">
        <w:t>languages, which are being transmitted inter</w:t>
      </w:r>
      <w:r>
        <w:t>-</w:t>
      </w:r>
      <w:r w:rsidRPr="00862D5A">
        <w:t xml:space="preserve">generationally, such as the chain of Western Desert languages, to languages being reawakened from historical sources. There </w:t>
      </w:r>
      <w:r>
        <w:t>has</w:t>
      </w:r>
      <w:r w:rsidRPr="00862D5A">
        <w:t xml:space="preserve"> been significant investment in Indigenous languages curriculum and employment and training of Indigenous peoples.</w:t>
      </w:r>
    </w:p>
    <w:p w14:paraId="3E0CECEB" w14:textId="77777777" w:rsidR="006145A3" w:rsidRPr="00C40E4C" w:rsidRDefault="006145A3" w:rsidP="006145A3">
      <w:pPr>
        <w:pStyle w:val="Heading4"/>
        <w:numPr>
          <w:ilvl w:val="3"/>
          <w:numId w:val="22"/>
        </w:numPr>
        <w:rPr>
          <w:lang w:val="en-US"/>
        </w:rPr>
      </w:pPr>
      <w:bookmarkStart w:id="143" w:name="_Toc32138008"/>
      <w:bookmarkEnd w:id="143"/>
      <w:r w:rsidRPr="00DE6C5F">
        <w:t>Tasmania</w:t>
      </w:r>
    </w:p>
    <w:p w14:paraId="10E9D06F" w14:textId="40B1C4BF" w:rsidR="006145A3" w:rsidRPr="00735FD5" w:rsidRDefault="006145A3" w:rsidP="006145A3">
      <w:pPr>
        <w:pStyle w:val="Para0"/>
      </w:pPr>
      <w:r w:rsidRPr="00735FD5">
        <w:rPr>
          <w:i/>
        </w:rPr>
        <w:t>Our Multicultural Island: Tasmania's Multicultural Policy and Action Plan 2019-2022</w:t>
      </w:r>
      <w:r w:rsidRPr="00735FD5">
        <w:t xml:space="preserve"> </w:t>
      </w:r>
      <w:sdt>
        <w:sdtPr>
          <w:id w:val="-50304303"/>
          <w:citation/>
        </w:sdtPr>
        <w:sdtEndPr/>
        <w:sdtContent>
          <w:r w:rsidR="00433BE8">
            <w:fldChar w:fldCharType="begin"/>
          </w:r>
          <w:r w:rsidR="00433BE8">
            <w:instrText xml:space="preserve"> CITATION Dep19 \l 2057 </w:instrText>
          </w:r>
          <w:r w:rsidR="00433BE8">
            <w:fldChar w:fldCharType="separate"/>
          </w:r>
          <w:r w:rsidR="00433BE8" w:rsidRPr="00433BE8">
            <w:rPr>
              <w:noProof/>
            </w:rPr>
            <w:t>(</w:t>
          </w:r>
          <w:bookmarkStart w:id="144" w:name="Dep19_83"/>
          <w:r w:rsidR="00433BE8" w:rsidRPr="00433BE8">
            <w:rPr>
              <w:noProof/>
            </w:rPr>
            <w:t>Department of Communities, 2019</w:t>
          </w:r>
          <w:r w:rsidR="00433BE8" w:rsidRPr="00433BE8">
            <w:rPr>
              <w:noProof/>
              <w:vertAlign w:val="subscript"/>
            </w:rPr>
            <w:t>[83]</w:t>
          </w:r>
          <w:r w:rsidR="00433BE8" w:rsidRPr="00433BE8">
            <w:rPr>
              <w:noProof/>
            </w:rPr>
            <w:t>)</w:t>
          </w:r>
          <w:bookmarkEnd w:id="144"/>
          <w:r w:rsidR="00433BE8">
            <w:fldChar w:fldCharType="end"/>
          </w:r>
        </w:sdtContent>
      </w:sdt>
      <w:r w:rsidRPr="00735FD5">
        <w:t xml:space="preserve"> recognises the rights of all groups in Tasmania to use their languages. The peak Indigenous body in this state, the Tasmanian Aboriginal Corporation, currently does not support teaching </w:t>
      </w:r>
      <w:r w:rsidRPr="00735FD5">
        <w:rPr>
          <w:i/>
        </w:rPr>
        <w:t>palawa kani</w:t>
      </w:r>
      <w:r w:rsidRPr="00735FD5">
        <w:t>, the reawakening Aboriginal language of Tasmania, in schools at this stage (a view also held by some groups in other states), in part because they are hesitant to share too much with outsiders because of fears of misappropriation of their culture.</w:t>
      </w:r>
    </w:p>
    <w:p w14:paraId="74EDFCBA" w14:textId="77777777" w:rsidR="006145A3" w:rsidRPr="00C40E4C" w:rsidRDefault="006145A3" w:rsidP="006145A3">
      <w:pPr>
        <w:pStyle w:val="Heading4"/>
        <w:numPr>
          <w:ilvl w:val="3"/>
          <w:numId w:val="22"/>
        </w:numPr>
        <w:rPr>
          <w:lang w:val="en-US"/>
        </w:rPr>
      </w:pPr>
      <w:bookmarkStart w:id="145" w:name="_Toc32138009"/>
      <w:bookmarkEnd w:id="145"/>
      <w:r w:rsidRPr="00DE6C5F">
        <w:t>Victoria</w:t>
      </w:r>
    </w:p>
    <w:p w14:paraId="69055392" w14:textId="77777777" w:rsidR="006145A3" w:rsidRPr="00735FD5" w:rsidRDefault="006145A3" w:rsidP="006145A3">
      <w:pPr>
        <w:pStyle w:val="Para0"/>
      </w:pPr>
      <w:r w:rsidRPr="00735FD5">
        <w:t xml:space="preserve">In 2006, </w:t>
      </w:r>
      <w:r w:rsidRPr="00735FD5">
        <w:rPr>
          <w:rStyle w:val="Heading4Char"/>
          <w:rFonts w:eastAsiaTheme="minorHAnsi" w:cstheme="minorBidi"/>
          <w:i w:val="0"/>
          <w:iCs w:val="0"/>
          <w:color w:val="000000" w:themeColor="text1"/>
        </w:rPr>
        <w:t xml:space="preserve">Victoria </w:t>
      </w:r>
      <w:r w:rsidRPr="00735FD5">
        <w:t xml:space="preserve">passed the </w:t>
      </w:r>
      <w:r w:rsidRPr="00735FD5">
        <w:rPr>
          <w:i/>
        </w:rPr>
        <w:t>Charter of Human Rights and Responsibilities Act 2006</w:t>
      </w:r>
      <w:r w:rsidRPr="00735FD5">
        <w:t xml:space="preserve"> </w:t>
      </w:r>
      <w:r w:rsidRPr="005C35BB">
        <w:t>([State of Victoria], 2006</w:t>
      </w:r>
      <w:r w:rsidRPr="00735FD5">
        <w:t xml:space="preserve">), which recognises (sect 19) the right of Aboriginal persons "to maintain and use their language". </w:t>
      </w:r>
    </w:p>
    <w:p w14:paraId="0C63E661" w14:textId="115AB45F" w:rsidR="006145A3" w:rsidRPr="00735FD5" w:rsidRDefault="006145A3" w:rsidP="006145A3">
      <w:pPr>
        <w:pStyle w:val="Para0"/>
      </w:pPr>
      <w:r w:rsidRPr="00735FD5">
        <w:rPr>
          <w:i/>
        </w:rPr>
        <w:t>The Victorian Curriculum F–10: Victorian Aboriginal Languages</w:t>
      </w:r>
      <w:r w:rsidRPr="00735FD5">
        <w:t xml:space="preserve"> </w:t>
      </w:r>
      <w:sdt>
        <w:sdtPr>
          <w:id w:val="2071227865"/>
          <w:citation/>
        </w:sdtPr>
        <w:sdtEndPr/>
        <w:sdtContent>
          <w:r w:rsidR="00C7483E">
            <w:fldChar w:fldCharType="begin"/>
          </w:r>
          <w:r w:rsidR="00C7483E">
            <w:instrText xml:space="preserve">CITATION Vic15 \l 2057 </w:instrText>
          </w:r>
          <w:r w:rsidR="00C7483E">
            <w:fldChar w:fldCharType="separate"/>
          </w:r>
          <w:r w:rsidR="00C7483E" w:rsidRPr="00C7483E">
            <w:rPr>
              <w:noProof/>
            </w:rPr>
            <w:t>(</w:t>
          </w:r>
          <w:bookmarkStart w:id="146" w:name="Vic15_84"/>
          <w:r w:rsidR="00C7483E" w:rsidRPr="00C7483E">
            <w:rPr>
              <w:noProof/>
            </w:rPr>
            <w:t>Victorian Curriculum and Assessment Authority, 2015</w:t>
          </w:r>
          <w:r w:rsidR="00C7483E" w:rsidRPr="00C7483E">
            <w:rPr>
              <w:noProof/>
              <w:vertAlign w:val="subscript"/>
            </w:rPr>
            <w:t>[84]</w:t>
          </w:r>
          <w:r w:rsidR="00C7483E" w:rsidRPr="00C7483E">
            <w:rPr>
              <w:noProof/>
            </w:rPr>
            <w:t>)</w:t>
          </w:r>
          <w:bookmarkEnd w:id="146"/>
          <w:r w:rsidR="00C7483E">
            <w:fldChar w:fldCharType="end"/>
          </w:r>
        </w:sdtContent>
      </w:sdt>
      <w:r w:rsidRPr="00735FD5">
        <w:t xml:space="preserve"> recognises that there are no communities of first language speakers of Victorian Aboriginal languages and so the focus is on language revival. It is closely aligned with the national Framework for Aboriginal Languages and Torres Strait Islander Languages </w:t>
      </w:r>
      <w:sdt>
        <w:sdtPr>
          <w:id w:val="-478155345"/>
          <w:citation/>
        </w:sdtPr>
        <w:sdtEndPr/>
        <w:sdtContent>
          <w:r w:rsidR="00C7483E">
            <w:fldChar w:fldCharType="begin"/>
          </w:r>
          <w:r w:rsidR="00C7483E">
            <w:instrText xml:space="preserve"> CITATION Dis19 \l 2057 </w:instrText>
          </w:r>
          <w:r w:rsidR="00C7483E">
            <w:fldChar w:fldCharType="separate"/>
          </w:r>
          <w:r w:rsidR="00C7483E" w:rsidRPr="00C7483E">
            <w:rPr>
              <w:noProof/>
            </w:rPr>
            <w:t>(Disbray, 2019</w:t>
          </w:r>
          <w:r w:rsidR="00C7483E" w:rsidRPr="00C7483E">
            <w:rPr>
              <w:noProof/>
              <w:vertAlign w:val="subscript"/>
            </w:rPr>
            <w:t>[71]</w:t>
          </w:r>
          <w:r w:rsidR="00C7483E" w:rsidRPr="00C7483E">
            <w:rPr>
              <w:noProof/>
            </w:rPr>
            <w:t>)</w:t>
          </w:r>
          <w:r w:rsidR="00C7483E">
            <w:fldChar w:fldCharType="end"/>
          </w:r>
        </w:sdtContent>
      </w:sdt>
      <w:r w:rsidRPr="00735FD5">
        <w:t>. Indigenous languages are commonly taught by a community member and classroom teacher together. The number of schools with programmes and students participating in these programmes are on the rise.</w:t>
      </w:r>
    </w:p>
    <w:p w14:paraId="6F89BEA6" w14:textId="77777777" w:rsidR="006145A3" w:rsidRPr="00C40E4C" w:rsidRDefault="006145A3" w:rsidP="006145A3">
      <w:pPr>
        <w:pStyle w:val="Heading4"/>
        <w:numPr>
          <w:ilvl w:val="3"/>
          <w:numId w:val="22"/>
        </w:numPr>
        <w:rPr>
          <w:lang w:val="en-US"/>
        </w:rPr>
      </w:pPr>
      <w:bookmarkStart w:id="147" w:name="_Toc32138010"/>
      <w:bookmarkEnd w:id="147"/>
      <w:r>
        <w:rPr>
          <w:lang w:val="en-US"/>
        </w:rPr>
        <w:t>Western Australia</w:t>
      </w:r>
    </w:p>
    <w:p w14:paraId="1263D4FA" w14:textId="400D0389" w:rsidR="006145A3" w:rsidRPr="00735FD5" w:rsidRDefault="006145A3" w:rsidP="006145A3">
      <w:pPr>
        <w:pStyle w:val="Para0"/>
      </w:pPr>
      <w:r w:rsidRPr="00735FD5">
        <w:rPr>
          <w:rStyle w:val="Heading4Char"/>
          <w:rFonts w:eastAsiaTheme="minorHAnsi" w:cstheme="minorBidi"/>
          <w:i w:val="0"/>
          <w:iCs w:val="0"/>
          <w:color w:val="000000" w:themeColor="text1"/>
        </w:rPr>
        <w:t xml:space="preserve">Western Australia </w:t>
      </w:r>
      <w:r w:rsidRPr="00735FD5">
        <w:t xml:space="preserve">has largely adopted the national </w:t>
      </w:r>
      <w:r w:rsidRPr="00735FD5">
        <w:rPr>
          <w:i/>
        </w:rPr>
        <w:t xml:space="preserve">Framework for Aboriginal Languages and Torres Strait Islander Languages </w:t>
      </w:r>
      <w:sdt>
        <w:sdtPr>
          <w:rPr>
            <w:i/>
          </w:rPr>
          <w:id w:val="669223966"/>
          <w:citation/>
        </w:sdtPr>
        <w:sdtEndPr/>
        <w:sdtContent>
          <w:r w:rsidR="00D0683A">
            <w:rPr>
              <w:i/>
            </w:rPr>
            <w:fldChar w:fldCharType="begin"/>
          </w:r>
          <w:r w:rsidR="00D0683A">
            <w:rPr>
              <w:i/>
            </w:rPr>
            <w:instrText xml:space="preserve">CITATION Sch17 \l 2057 </w:instrText>
          </w:r>
          <w:r w:rsidR="00D0683A">
            <w:rPr>
              <w:i/>
            </w:rPr>
            <w:fldChar w:fldCharType="separate"/>
          </w:r>
          <w:r w:rsidR="00D0683A" w:rsidRPr="00D0683A">
            <w:rPr>
              <w:noProof/>
            </w:rPr>
            <w:t>(</w:t>
          </w:r>
          <w:bookmarkStart w:id="148" w:name="Sch17_85"/>
          <w:r w:rsidR="00D0683A" w:rsidRPr="00D0683A">
            <w:rPr>
              <w:noProof/>
            </w:rPr>
            <w:t>School Curriculum and Standards Authority, 2017</w:t>
          </w:r>
          <w:r w:rsidR="00D0683A" w:rsidRPr="00D0683A">
            <w:rPr>
              <w:noProof/>
              <w:vertAlign w:val="subscript"/>
            </w:rPr>
            <w:t>[85]</w:t>
          </w:r>
          <w:r w:rsidR="00D0683A" w:rsidRPr="00D0683A">
            <w:rPr>
              <w:noProof/>
            </w:rPr>
            <w:t>)</w:t>
          </w:r>
          <w:bookmarkEnd w:id="148"/>
          <w:r w:rsidR="00D0683A">
            <w:rPr>
              <w:i/>
            </w:rPr>
            <w:fldChar w:fldCharType="end"/>
          </w:r>
        </w:sdtContent>
      </w:sdt>
      <w:r w:rsidRPr="00735FD5">
        <w:t>. Indigenous languages are included in the subject area of Languages (previously called Languages Other Than English (LOTE)). This state has developed and maintained professional development for Indigenous community members as Indigenous languages teachers.</w:t>
      </w:r>
    </w:p>
    <w:p w14:paraId="1AEE393D" w14:textId="77777777" w:rsidR="006145A3" w:rsidRPr="00803C6D" w:rsidRDefault="006145A3" w:rsidP="006145A3">
      <w:pPr>
        <w:pStyle w:val="Heading2"/>
        <w:numPr>
          <w:ilvl w:val="1"/>
          <w:numId w:val="22"/>
        </w:numPr>
      </w:pPr>
      <w:bookmarkStart w:id="149" w:name="_Toc32138011"/>
      <w:bookmarkStart w:id="150" w:name="_Toc82093567"/>
      <w:bookmarkStart w:id="151" w:name="_Toc95824106"/>
      <w:bookmarkEnd w:id="149"/>
      <w:r w:rsidRPr="00DE6C5F">
        <w:lastRenderedPageBreak/>
        <w:t>Canada</w:t>
      </w:r>
      <w:bookmarkEnd w:id="150"/>
      <w:bookmarkEnd w:id="151"/>
    </w:p>
    <w:p w14:paraId="40169866" w14:textId="77777777" w:rsidR="006145A3" w:rsidRPr="00852D94" w:rsidRDefault="006145A3" w:rsidP="006145A3">
      <w:pPr>
        <w:pStyle w:val="Heading3"/>
        <w:numPr>
          <w:ilvl w:val="2"/>
          <w:numId w:val="22"/>
        </w:numPr>
      </w:pPr>
      <w:bookmarkStart w:id="152" w:name="_Toc32138012"/>
      <w:bookmarkEnd w:id="152"/>
      <w:r>
        <w:t>National context</w:t>
      </w:r>
    </w:p>
    <w:p w14:paraId="3DE16695" w14:textId="1F6B40AD" w:rsidR="006145A3" w:rsidRPr="00735FD5" w:rsidRDefault="006145A3" w:rsidP="006145A3">
      <w:pPr>
        <w:pStyle w:val="Para0"/>
      </w:pPr>
      <w:r w:rsidRPr="00735FD5">
        <w:t xml:space="preserve">The </w:t>
      </w:r>
      <w:r w:rsidRPr="00735FD5">
        <w:rPr>
          <w:i/>
        </w:rPr>
        <w:t>Official Languages Act RSC 1985</w:t>
      </w:r>
      <w:r w:rsidRPr="00735FD5">
        <w:t xml:space="preserve"> (</w:t>
      </w:r>
      <w:r w:rsidRPr="005C35BB">
        <w:t>Government of Canada], 1985</w:t>
      </w:r>
      <w:r w:rsidRPr="00735FD5">
        <w:t xml:space="preserve">) establishes Canada as a bilingual country with English and French as the two official languages, but jurisdictions may give official status to other languages, and vary the weight of the official languages. It has been argued that this official bilingualism has marginalised speakers of Indigenous Canadian languages </w:t>
      </w:r>
      <w:sdt>
        <w:sdtPr>
          <w:id w:val="332571881"/>
          <w:citation/>
        </w:sdtPr>
        <w:sdtEndPr/>
        <w:sdtContent>
          <w:r w:rsidR="000A5D82">
            <w:fldChar w:fldCharType="begin"/>
          </w:r>
          <w:r w:rsidR="000A5D82">
            <w:instrText xml:space="preserve">CITATION Haq15 \m Kim20 \l 2057 </w:instrText>
          </w:r>
          <w:r w:rsidR="000A5D82">
            <w:fldChar w:fldCharType="separate"/>
          </w:r>
          <w:bookmarkStart w:id="153" w:name="Kim20_87"/>
          <w:r w:rsidR="000A5D82" w:rsidRPr="000A5D82">
            <w:rPr>
              <w:noProof/>
            </w:rPr>
            <w:t>(Haque and Patrick, 2015</w:t>
          </w:r>
          <w:r w:rsidR="000A5D82" w:rsidRPr="000A5D82">
            <w:rPr>
              <w:noProof/>
              <w:vertAlign w:val="subscript"/>
            </w:rPr>
            <w:t>[86]</w:t>
          </w:r>
          <w:r w:rsidR="000A5D82" w:rsidRPr="000A5D82">
            <w:rPr>
              <w:noProof/>
            </w:rPr>
            <w:t>; Kim et al., 2019</w:t>
          </w:r>
          <w:r w:rsidR="000A5D82" w:rsidRPr="000A5D82">
            <w:rPr>
              <w:noProof/>
              <w:vertAlign w:val="subscript"/>
            </w:rPr>
            <w:t>[87]</w:t>
          </w:r>
          <w:r w:rsidR="000A5D82" w:rsidRPr="000A5D82">
            <w:rPr>
              <w:noProof/>
            </w:rPr>
            <w:t>)</w:t>
          </w:r>
          <w:bookmarkEnd w:id="153"/>
          <w:r w:rsidR="000A5D82">
            <w:fldChar w:fldCharType="end"/>
          </w:r>
        </w:sdtContent>
      </w:sdt>
      <w:r w:rsidRPr="00735FD5">
        <w:t>.</w:t>
      </w:r>
    </w:p>
    <w:p w14:paraId="0B2940B1" w14:textId="77777777" w:rsidR="006145A3" w:rsidRPr="00F23ED0" w:rsidRDefault="006145A3" w:rsidP="006145A3">
      <w:pPr>
        <w:pStyle w:val="Para0"/>
      </w:pPr>
      <w:r w:rsidRPr="00F23ED0">
        <w:t xml:space="preserve">In 2015 the report of the Truth and Reconciliation Commission of Canada made a number of calls to action, including for the government of Canada to enact an </w:t>
      </w:r>
      <w:r w:rsidRPr="00735FD5">
        <w:rPr>
          <w:i/>
        </w:rPr>
        <w:t>Aboriginal Languages Act</w:t>
      </w:r>
      <w:r w:rsidRPr="00F23ED0">
        <w:t xml:space="preserve"> incorporating principles such as the impor</w:t>
      </w:r>
      <w:r>
        <w:t>tance of preservation, revitalis</w:t>
      </w:r>
      <w:r w:rsidRPr="00F23ED0">
        <w:t>ation, and strengthening of Indigenous languages</w:t>
      </w:r>
      <w:r w:rsidRPr="00F23ED0">
        <w:rPr>
          <w:rFonts w:eastAsia="MS Gothic"/>
        </w:rPr>
        <w:t xml:space="preserve"> </w:t>
      </w:r>
      <w:r w:rsidRPr="00F23ED0">
        <w:t>by Indigenous people and of governments properly funding these activities (</w:t>
      </w:r>
      <w:r w:rsidRPr="005C35BB">
        <w:t>Truth and Reconciliation Commission of Canada, 2015</w:t>
      </w:r>
      <w:r w:rsidRPr="00F23ED0">
        <w:t xml:space="preserve">). </w:t>
      </w:r>
    </w:p>
    <w:p w14:paraId="48A3829E" w14:textId="5DAF8C89" w:rsidR="006145A3" w:rsidRPr="00F23ED0" w:rsidRDefault="006145A3" w:rsidP="006145A3">
      <w:pPr>
        <w:pStyle w:val="Para0"/>
      </w:pPr>
      <w:r w:rsidRPr="00F23ED0">
        <w:t xml:space="preserve">This resulted in the passing of the </w:t>
      </w:r>
      <w:r w:rsidRPr="00F23ED0">
        <w:rPr>
          <w:i/>
        </w:rPr>
        <w:t>Indigenous Languages Act</w:t>
      </w:r>
      <w:r w:rsidRPr="00F23ED0">
        <w:t xml:space="preserve"> SC 2019 </w:t>
      </w:r>
      <w:r w:rsidRPr="005C35BB">
        <w:t>([Government of Canada], 2019a</w:t>
      </w:r>
      <w:r w:rsidRPr="00F23ED0">
        <w:t>) which recognises the language rights of Indigenous Canadians, and commits to support</w:t>
      </w:r>
      <w:r w:rsidR="00802DDB">
        <w:t>ing and promoting</w:t>
      </w:r>
      <w:r w:rsidRPr="00F23ED0">
        <w:t xml:space="preserve"> the use of Indigenous languages, and efforts in lan</w:t>
      </w:r>
      <w:r>
        <w:t>guage reclamation, revitalis</w:t>
      </w:r>
      <w:r w:rsidRPr="00F23ED0">
        <w:t xml:space="preserve">ation, maintenance and strengthening including Indigenous sign languages, as well as making materials accessible in Indigenous Canadian languages. It establishes an Office of Commissioner of Indigenous Languages to support this work. </w:t>
      </w:r>
    </w:p>
    <w:p w14:paraId="43D6C9B4" w14:textId="77777777" w:rsidR="006145A3" w:rsidRPr="00F23ED0" w:rsidRDefault="006145A3" w:rsidP="006145A3">
      <w:pPr>
        <w:pStyle w:val="Para0"/>
      </w:pPr>
      <w:r>
        <w:t>In addition, t</w:t>
      </w:r>
      <w:r w:rsidRPr="00F23ED0">
        <w:t xml:space="preserve">he </w:t>
      </w:r>
      <w:r w:rsidRPr="00F23ED0">
        <w:rPr>
          <w:i/>
        </w:rPr>
        <w:t>Act respecting First Nations, Inuit and Métis children, youth and families</w:t>
      </w:r>
      <w:r w:rsidRPr="00F23ED0">
        <w:t xml:space="preserve"> (S.C. 2019, c. 24) </w:t>
      </w:r>
      <w:r w:rsidRPr="005C35BB">
        <w:t>([Government of Canada], 2019b</w:t>
      </w:r>
      <w:r w:rsidRPr="00F23ED0">
        <w:t xml:space="preserve">) recognises the importance of transmission of language and cultural continuity, and the importance of helping children keep connections with their languages. </w:t>
      </w:r>
    </w:p>
    <w:p w14:paraId="2204E438" w14:textId="77777777" w:rsidR="006145A3" w:rsidRPr="00F23ED0" w:rsidRDefault="006145A3" w:rsidP="006145A3">
      <w:pPr>
        <w:pStyle w:val="Para0"/>
      </w:pPr>
      <w:r w:rsidRPr="00862D5A">
        <w:t xml:space="preserve">Following the Truth and Reconciliation Commission report, the Government of Canada established an </w:t>
      </w:r>
      <w:r w:rsidRPr="00F23ED0">
        <w:t>Indigenous Early Learning and Child Care (ELCC) framework that takes as a shared first principle:</w:t>
      </w:r>
    </w:p>
    <w:p w14:paraId="30B40C6A" w14:textId="0BE57155" w:rsidR="006145A3" w:rsidRPr="00DE6C5F" w:rsidRDefault="006145A3" w:rsidP="006145A3">
      <w:pPr>
        <w:pStyle w:val="Quote"/>
      </w:pPr>
      <w:r w:rsidRPr="00DE6C5F">
        <w:t xml:space="preserve">1. Indigenous Knowledges, Languages and Cultures </w:t>
      </w:r>
      <w:r w:rsidR="00802DDB">
        <w:t xml:space="preserve">- </w:t>
      </w:r>
      <w:r w:rsidRPr="00DE6C5F">
        <w:t>Reali</w:t>
      </w:r>
      <w:r>
        <w:t>s</w:t>
      </w:r>
      <w:r w:rsidRPr="00DE6C5F">
        <w:t>ing the crucial importance of Indigenous ELCC that is rooted in distinct Indigenous cultures, languages and knowledges, as the foundation from which children form their individual and collective identity, and as an essential component of well</w:t>
      </w:r>
      <w:r>
        <w:t>-</w:t>
      </w:r>
      <w:r w:rsidRPr="00DE6C5F">
        <w:t xml:space="preserve">being. </w:t>
      </w:r>
    </w:p>
    <w:p w14:paraId="064D10B5" w14:textId="5261E2F7" w:rsidR="006145A3" w:rsidRPr="00DE6C5F" w:rsidRDefault="008D0BBE" w:rsidP="006145A3">
      <w:pPr>
        <w:pStyle w:val="Quote"/>
      </w:pPr>
      <w:sdt>
        <w:sdtPr>
          <w:id w:val="-1809005035"/>
          <w:citation/>
        </w:sdtPr>
        <w:sdtEndPr/>
        <w:sdtContent>
          <w:r w:rsidR="000A5D82">
            <w:fldChar w:fldCharType="begin"/>
          </w:r>
          <w:r w:rsidR="000A5D82">
            <w:instrText xml:space="preserve"> CITATION Gov18 \l 2057 </w:instrText>
          </w:r>
          <w:r w:rsidR="000A5D82">
            <w:fldChar w:fldCharType="separate"/>
          </w:r>
          <w:r w:rsidR="000A5D82" w:rsidRPr="000A5D82">
            <w:rPr>
              <w:noProof/>
            </w:rPr>
            <w:t>(</w:t>
          </w:r>
          <w:bookmarkStart w:id="154" w:name="Gov18_88"/>
          <w:r w:rsidR="000A5D82" w:rsidRPr="000A5D82">
            <w:rPr>
              <w:noProof/>
            </w:rPr>
            <w:t>Government of Canada, 2018</w:t>
          </w:r>
          <w:r w:rsidR="000A5D82" w:rsidRPr="000A5D82">
            <w:rPr>
              <w:noProof/>
              <w:vertAlign w:val="subscript"/>
            </w:rPr>
            <w:t>[88]</w:t>
          </w:r>
          <w:r w:rsidR="000A5D82" w:rsidRPr="000A5D82">
            <w:rPr>
              <w:noProof/>
            </w:rPr>
            <w:t>)</w:t>
          </w:r>
          <w:bookmarkEnd w:id="154"/>
          <w:r w:rsidR="000A5D82">
            <w:fldChar w:fldCharType="end"/>
          </w:r>
        </w:sdtContent>
      </w:sdt>
    </w:p>
    <w:p w14:paraId="5586AD32" w14:textId="121D5746" w:rsidR="006145A3" w:rsidRDefault="006145A3" w:rsidP="006145A3">
      <w:pPr>
        <w:pStyle w:val="Para0"/>
      </w:pPr>
      <w:r w:rsidRPr="00F23ED0">
        <w:t xml:space="preserve">The Government of Canada has a major role in funding </w:t>
      </w:r>
      <w:r>
        <w:t>Indigenous students</w:t>
      </w:r>
      <w:r w:rsidRPr="005C68E8">
        <w:t xml:space="preserve"> </w:t>
      </w:r>
      <w:r w:rsidRPr="00F23ED0">
        <w:t xml:space="preserve">to </w:t>
      </w:r>
      <w:r w:rsidR="00802DDB">
        <w:t xml:space="preserve">access </w:t>
      </w:r>
      <w:r w:rsidRPr="00F23ED0">
        <w:t xml:space="preserve">education programmes on reserves through Indigenous Services Canada, as well as </w:t>
      </w:r>
      <w:r w:rsidR="00802DDB">
        <w:t xml:space="preserve">in </w:t>
      </w:r>
      <w:r w:rsidRPr="00F23ED0">
        <w:t>directly funding schools. In 2019 the Government of Canada reported t</w:t>
      </w:r>
      <w:r>
        <w:t>hat it funded approximately 107 </w:t>
      </w:r>
      <w:r w:rsidRPr="00F23ED0">
        <w:t>000</w:t>
      </w:r>
      <w:r>
        <w:t xml:space="preserve"> eligible students aged 4 to 21 </w:t>
      </w:r>
      <w:r w:rsidRPr="00F23ED0">
        <w:t xml:space="preserve">years of age, ordinarily living on reserve, </w:t>
      </w:r>
      <w:r w:rsidR="00802DDB">
        <w:t>to attend</w:t>
      </w:r>
      <w:r w:rsidRPr="00F23ED0">
        <w:t xml:space="preserve"> eligible elementary or secondary programmes. The majority were First Nations students. </w:t>
      </w:r>
    </w:p>
    <w:p w14:paraId="2AAF2EE8" w14:textId="77777777" w:rsidR="006145A3" w:rsidRDefault="006145A3" w:rsidP="006145A3">
      <w:pPr>
        <w:pStyle w:val="Para0"/>
      </w:pPr>
      <w:r w:rsidRPr="00F23ED0">
        <w:t>In 2019</w:t>
      </w:r>
      <w:r>
        <w:t>, the federal government</w:t>
      </w:r>
      <w:r w:rsidRPr="00F23ED0">
        <w:t xml:space="preserve"> announced a new, co-developed policy and funding approach to support the educational needs of First Nations students living on reserves. The approach replaced proposal-based programmes for elementary and secondary education with formula-based regional funding models in line with the base funding for students enrolled in provincial education systems. </w:t>
      </w:r>
    </w:p>
    <w:p w14:paraId="1DA748A9" w14:textId="1F172FAA" w:rsidR="006145A3" w:rsidRPr="00862D5A" w:rsidRDefault="006145A3" w:rsidP="006145A3">
      <w:pPr>
        <w:pStyle w:val="Para0"/>
      </w:pPr>
      <w:r w:rsidRPr="00F23ED0">
        <w:t xml:space="preserve">Following consultation that showed </w:t>
      </w:r>
      <w:r>
        <w:t>“</w:t>
      </w:r>
      <w:r w:rsidRPr="00F23ED0">
        <w:t>language and culture are critically important for the successful development, education and well</w:t>
      </w:r>
      <w:r>
        <w:t>-</w:t>
      </w:r>
      <w:r w:rsidRPr="00F23ED0">
        <w:t>being of First Nations students</w:t>
      </w:r>
      <w:r>
        <w:t>”</w:t>
      </w:r>
      <w:r w:rsidRPr="00F23ED0">
        <w:t>, the Government committed to funding First Na</w:t>
      </w:r>
      <w:r w:rsidRPr="00862D5A">
        <w:t xml:space="preserve">tions schools with </w:t>
      </w:r>
      <w:r>
        <w:t>USD </w:t>
      </w:r>
      <w:r w:rsidRPr="00862D5A">
        <w:t>1</w:t>
      </w:r>
      <w:r>
        <w:t> </w:t>
      </w:r>
      <w:r w:rsidRPr="00862D5A">
        <w:t>500 per student, per year, to support l</w:t>
      </w:r>
      <w:r>
        <w:t>anguage and culture programming</w:t>
      </w:r>
      <w:r w:rsidRPr="00862D5A">
        <w:t xml:space="preserve"> </w:t>
      </w:r>
      <w:sdt>
        <w:sdtPr>
          <w:id w:val="815454366"/>
          <w:citation/>
        </w:sdtPr>
        <w:sdtEndPr/>
        <w:sdtContent>
          <w:r w:rsidR="00137861">
            <w:fldChar w:fldCharType="begin"/>
          </w:r>
          <w:r w:rsidR="00137861">
            <w:instrText xml:space="preserve"> CITATION Ind19 \l 2057 </w:instrText>
          </w:r>
          <w:r w:rsidR="00137861">
            <w:fldChar w:fldCharType="separate"/>
          </w:r>
          <w:r w:rsidR="00137861" w:rsidRPr="00137861">
            <w:rPr>
              <w:noProof/>
            </w:rPr>
            <w:t>(</w:t>
          </w:r>
          <w:bookmarkStart w:id="155" w:name="Ind19_89"/>
          <w:r w:rsidR="00137861" w:rsidRPr="00137861">
            <w:rPr>
              <w:noProof/>
            </w:rPr>
            <w:t>Indigenous Services Canada, 2019</w:t>
          </w:r>
          <w:r w:rsidR="00137861" w:rsidRPr="00137861">
            <w:rPr>
              <w:noProof/>
              <w:vertAlign w:val="subscript"/>
            </w:rPr>
            <w:t>[89]</w:t>
          </w:r>
          <w:r w:rsidR="00137861" w:rsidRPr="00137861">
            <w:rPr>
              <w:noProof/>
            </w:rPr>
            <w:t>)</w:t>
          </w:r>
          <w:bookmarkEnd w:id="155"/>
          <w:r w:rsidR="00137861">
            <w:fldChar w:fldCharType="end"/>
          </w:r>
        </w:sdtContent>
      </w:sdt>
      <w:r w:rsidRPr="00862D5A">
        <w:t xml:space="preserve">. The mechanisms to make this work are in progress, namely "additional Treaty-based, regional and/or local education agreements that respond to the education goals and priorities set by First Nations". </w:t>
      </w:r>
    </w:p>
    <w:p w14:paraId="359B2EB9" w14:textId="77777777" w:rsidR="006145A3" w:rsidRPr="00852D94" w:rsidRDefault="006145A3" w:rsidP="006145A3">
      <w:pPr>
        <w:pStyle w:val="Heading3"/>
        <w:numPr>
          <w:ilvl w:val="2"/>
          <w:numId w:val="22"/>
        </w:numPr>
      </w:pPr>
      <w:bookmarkStart w:id="156" w:name="_Toc32138014"/>
      <w:bookmarkEnd w:id="156"/>
      <w:r w:rsidRPr="00852D94">
        <w:lastRenderedPageBreak/>
        <w:t xml:space="preserve">Province and </w:t>
      </w:r>
      <w:r w:rsidRPr="00DE6C5F">
        <w:t>territory</w:t>
      </w:r>
      <w:r w:rsidRPr="00852D94">
        <w:t xml:space="preserve"> context</w:t>
      </w:r>
      <w:r>
        <w:t>s</w:t>
      </w:r>
    </w:p>
    <w:p w14:paraId="1D5C32F2" w14:textId="77777777" w:rsidR="006145A3" w:rsidRPr="00B659C7" w:rsidRDefault="006145A3" w:rsidP="006145A3">
      <w:pPr>
        <w:pStyle w:val="Para0"/>
      </w:pPr>
      <w:r>
        <w:t>On-reserve and off-</w:t>
      </w:r>
      <w:r w:rsidRPr="00B659C7">
        <w:t xml:space="preserve">reserve are key distinctions in the provision of Indigenous education in Canada. Off-reserve education is primarily the responsibility of the provinces and territories. They are English-dominant, with the exception of French-dominant Quebec, French-English bilingual New Brunswick, French minority regions and Nunavut. </w:t>
      </w:r>
    </w:p>
    <w:p w14:paraId="751B292E" w14:textId="340DB125" w:rsidR="006145A3" w:rsidRPr="00B659C7" w:rsidRDefault="006145A3" w:rsidP="006145A3">
      <w:pPr>
        <w:pStyle w:val="Para0"/>
      </w:pPr>
      <w:r w:rsidRPr="00B659C7">
        <w:t xml:space="preserve">In 2000, a </w:t>
      </w:r>
      <w:r w:rsidRPr="00B659C7">
        <w:rPr>
          <w:i/>
        </w:rPr>
        <w:t>Common Curriculum Framework for Aboriginal Language and Culture Programmes Kindergarten to Grade 12</w:t>
      </w:r>
      <w:r w:rsidRPr="00B659C7">
        <w:t xml:space="preserve"> </w:t>
      </w:r>
      <w:sdt>
        <w:sdtPr>
          <w:id w:val="-410860256"/>
          <w:citation/>
        </w:sdtPr>
        <w:sdtEndPr/>
        <w:sdtContent>
          <w:r w:rsidR="00152206">
            <w:fldChar w:fldCharType="begin"/>
          </w:r>
          <w:r w:rsidR="00152206">
            <w:instrText xml:space="preserve">CITATION Wes00 \l 2057 </w:instrText>
          </w:r>
          <w:r w:rsidR="00152206">
            <w:fldChar w:fldCharType="separate"/>
          </w:r>
          <w:r w:rsidR="00152206" w:rsidRPr="00152206">
            <w:rPr>
              <w:noProof/>
            </w:rPr>
            <w:t>(</w:t>
          </w:r>
          <w:bookmarkStart w:id="157" w:name="Wes00_90"/>
          <w:r w:rsidR="00152206" w:rsidRPr="00152206">
            <w:rPr>
              <w:noProof/>
            </w:rPr>
            <w:t>Western Canadian Protocol for Collaboration in Basic Education; Oishi, M., 2000</w:t>
          </w:r>
          <w:r w:rsidR="00152206" w:rsidRPr="00152206">
            <w:rPr>
              <w:noProof/>
              <w:vertAlign w:val="subscript"/>
            </w:rPr>
            <w:t>[90]</w:t>
          </w:r>
          <w:r w:rsidR="00152206" w:rsidRPr="00152206">
            <w:rPr>
              <w:noProof/>
            </w:rPr>
            <w:t>)</w:t>
          </w:r>
          <w:bookmarkEnd w:id="157"/>
          <w:r w:rsidR="00152206">
            <w:fldChar w:fldCharType="end"/>
          </w:r>
        </w:sdtContent>
      </w:sdt>
      <w:r w:rsidRPr="00B659C7">
        <w:t xml:space="preserve"> was agreed by the western provinces and territories (Alberta, British Columbia, Manitoba, Northwest Territories, Saskatchewan and Yukon Territory). </w:t>
      </w:r>
    </w:p>
    <w:p w14:paraId="2E07BD8D" w14:textId="77777777" w:rsidR="006145A3" w:rsidRPr="00C40E4C" w:rsidRDefault="006145A3" w:rsidP="006145A3">
      <w:pPr>
        <w:pStyle w:val="Heading4"/>
        <w:numPr>
          <w:ilvl w:val="3"/>
          <w:numId w:val="22"/>
        </w:numPr>
        <w:rPr>
          <w:lang w:val="en-US"/>
        </w:rPr>
      </w:pPr>
      <w:r w:rsidRPr="00DE6C5F">
        <w:t>Alberta</w:t>
      </w:r>
    </w:p>
    <w:p w14:paraId="79FF9D2A" w14:textId="77777777" w:rsidR="006145A3" w:rsidRPr="0074584D" w:rsidRDefault="006145A3" w:rsidP="006145A3">
      <w:pPr>
        <w:pStyle w:val="Para0"/>
      </w:pPr>
      <w:r w:rsidRPr="0074584D">
        <w:t xml:space="preserve">The </w:t>
      </w:r>
      <w:r w:rsidRPr="0074584D">
        <w:rPr>
          <w:i/>
        </w:rPr>
        <w:t>Common Curriculum Framework</w:t>
      </w:r>
      <w:r w:rsidRPr="0074584D">
        <w:t xml:space="preserve"> continues to inform education for First Nations, Métis and Inuit children in Alberta (primarily Blackfoot and Cree). </w:t>
      </w:r>
    </w:p>
    <w:p w14:paraId="5E3D5761" w14:textId="77777777" w:rsidR="006145A3" w:rsidRPr="00C076D4" w:rsidRDefault="006145A3" w:rsidP="006145A3">
      <w:pPr>
        <w:pStyle w:val="Heading4"/>
        <w:numPr>
          <w:ilvl w:val="3"/>
          <w:numId w:val="22"/>
        </w:numPr>
        <w:rPr>
          <w:i w:val="0"/>
        </w:rPr>
      </w:pPr>
      <w:r w:rsidRPr="00C076D4">
        <w:t xml:space="preserve">British </w:t>
      </w:r>
      <w:r w:rsidRPr="00DE6C5F">
        <w:t>Columbia</w:t>
      </w:r>
    </w:p>
    <w:p w14:paraId="724E1FA4" w14:textId="77777777" w:rsidR="006145A3" w:rsidRDefault="006145A3" w:rsidP="006145A3">
      <w:pPr>
        <w:pStyle w:val="Para0"/>
      </w:pPr>
      <w:r w:rsidRPr="00862D5A">
        <w:t>The</w:t>
      </w:r>
      <w:r w:rsidRPr="00862D5A">
        <w:rPr>
          <w:i/>
        </w:rPr>
        <w:t xml:space="preserve"> First Peoples' Heritage, Language and Culture Act</w:t>
      </w:r>
      <w:r w:rsidRPr="00862D5A">
        <w:t xml:space="preserve">, RSBC 1996, c 147 </w:t>
      </w:r>
      <w:r w:rsidRPr="005C35BB">
        <w:t>([Province of British Columbia], 1996</w:t>
      </w:r>
      <w:r>
        <w:t>) relates to 34 </w:t>
      </w:r>
      <w:r w:rsidRPr="00862D5A">
        <w:t>languages of British</w:t>
      </w:r>
      <w:r>
        <w:t> </w:t>
      </w:r>
      <w:r w:rsidRPr="00862D5A">
        <w:t>Columbia, and set up the First Peoples' Heritage, Language and Culture Council to support and advise on First Nations heritage, language, culture or arts.</w:t>
      </w:r>
    </w:p>
    <w:p w14:paraId="3A20DD00" w14:textId="0A50E9CD" w:rsidR="006145A3" w:rsidRPr="000970B7" w:rsidRDefault="006145A3" w:rsidP="006145A3">
      <w:pPr>
        <w:pStyle w:val="Para0"/>
      </w:pPr>
      <w:r>
        <w:t>British </w:t>
      </w:r>
      <w:r w:rsidRPr="000970B7">
        <w:t xml:space="preserve">Columbia has a Language Education Policy </w:t>
      </w:r>
      <w:sdt>
        <w:sdtPr>
          <w:id w:val="1707445330"/>
          <w:citation/>
        </w:sdtPr>
        <w:sdtEndPr/>
        <w:sdtContent>
          <w:r w:rsidR="00BB578F">
            <w:fldChar w:fldCharType="begin"/>
          </w:r>
          <w:r w:rsidR="00BB578F">
            <w:instrText xml:space="preserve"> CITATION Gov04 \l 2057 </w:instrText>
          </w:r>
          <w:r w:rsidR="00BB578F">
            <w:fldChar w:fldCharType="separate"/>
          </w:r>
          <w:r w:rsidR="00BB578F" w:rsidRPr="00BB578F">
            <w:rPr>
              <w:noProof/>
            </w:rPr>
            <w:t>(</w:t>
          </w:r>
          <w:bookmarkStart w:id="158" w:name="Gov04_91"/>
          <w:r w:rsidR="00BB578F" w:rsidRPr="00BB578F">
            <w:rPr>
              <w:noProof/>
            </w:rPr>
            <w:t>Government of British Columbia, 1997, revised 2004</w:t>
          </w:r>
          <w:r w:rsidR="00BB578F" w:rsidRPr="00BB578F">
            <w:rPr>
              <w:noProof/>
              <w:vertAlign w:val="subscript"/>
            </w:rPr>
            <w:t>[91]</w:t>
          </w:r>
          <w:r w:rsidR="00BB578F" w:rsidRPr="00BB578F">
            <w:rPr>
              <w:noProof/>
            </w:rPr>
            <w:t>)</w:t>
          </w:r>
          <w:bookmarkEnd w:id="158"/>
          <w:r w:rsidR="00BB578F">
            <w:fldChar w:fldCharType="end"/>
          </w:r>
        </w:sdtContent>
      </w:sdt>
      <w:r w:rsidRPr="000970B7">
        <w:t>, which mandates teaching English and French as first languages, and all other languages including Canadian Aboriginal languages as second languages. It also proposes that "all students, especially those of Aboriginal ancestry, should have opportunities to learn an </w:t>
      </w:r>
      <w:hyperlink r:id="rId23" w:history="1">
        <w:r w:rsidRPr="000970B7">
          <w:t>Aboriginal language</w:t>
        </w:r>
      </w:hyperlink>
      <w:r w:rsidRPr="000970B7">
        <w:t>." It appears that their curriculum must be "developed appropriate to second language learners".</w:t>
      </w:r>
    </w:p>
    <w:p w14:paraId="19CB1DBF" w14:textId="77777777" w:rsidR="006145A3" w:rsidRPr="00C40E4C" w:rsidRDefault="006145A3" w:rsidP="006145A3">
      <w:pPr>
        <w:pStyle w:val="Heading4"/>
        <w:numPr>
          <w:ilvl w:val="3"/>
          <w:numId w:val="22"/>
        </w:numPr>
        <w:rPr>
          <w:lang w:val="en-US"/>
        </w:rPr>
      </w:pPr>
      <w:r w:rsidRPr="00DE6C5F">
        <w:t>Manitoba</w:t>
      </w:r>
    </w:p>
    <w:p w14:paraId="2040EC93" w14:textId="67201E56" w:rsidR="006145A3" w:rsidRPr="0074584D" w:rsidRDefault="006145A3" w:rsidP="006145A3">
      <w:pPr>
        <w:pStyle w:val="Para0"/>
      </w:pPr>
      <w:r w:rsidRPr="0074584D">
        <w:t xml:space="preserve">Manitoba has the </w:t>
      </w:r>
      <w:r w:rsidRPr="0074584D">
        <w:rPr>
          <w:i/>
        </w:rPr>
        <w:t>Kindergarten to Grade 12 Aboriginal languages and cultures: Manitoba curriculum framework of outcomes</w:t>
      </w:r>
      <w:r w:rsidRPr="0074584D">
        <w:t xml:space="preserve"> </w:t>
      </w:r>
      <w:sdt>
        <w:sdtPr>
          <w:id w:val="890314600"/>
          <w:citation/>
        </w:sdtPr>
        <w:sdtEndPr/>
        <w:sdtContent>
          <w:r w:rsidR="00BB578F">
            <w:fldChar w:fldCharType="begin"/>
          </w:r>
          <w:r w:rsidR="00BB578F">
            <w:instrText xml:space="preserve"> CITATION Man07 \l 2057 </w:instrText>
          </w:r>
          <w:r w:rsidR="00BB578F">
            <w:fldChar w:fldCharType="separate"/>
          </w:r>
          <w:r w:rsidR="00BB578F" w:rsidRPr="00BB578F">
            <w:rPr>
              <w:noProof/>
            </w:rPr>
            <w:t>(</w:t>
          </w:r>
          <w:bookmarkStart w:id="159" w:name="Man07_92"/>
          <w:r w:rsidR="00BB578F" w:rsidRPr="00BB578F">
            <w:rPr>
              <w:noProof/>
            </w:rPr>
            <w:t>Manitoba Education Citizenship and Youth, 2007</w:t>
          </w:r>
          <w:r w:rsidR="00BB578F" w:rsidRPr="00BB578F">
            <w:rPr>
              <w:noProof/>
              <w:vertAlign w:val="subscript"/>
            </w:rPr>
            <w:t>[92]</w:t>
          </w:r>
          <w:r w:rsidR="00BB578F" w:rsidRPr="00BB578F">
            <w:rPr>
              <w:noProof/>
            </w:rPr>
            <w:t>)</w:t>
          </w:r>
          <w:bookmarkEnd w:id="159"/>
          <w:r w:rsidR="00BB578F">
            <w:fldChar w:fldCharType="end"/>
          </w:r>
        </w:sdtContent>
      </w:sdt>
      <w:r w:rsidRPr="0074584D">
        <w:t xml:space="preserve">. The framework focuses on Ojibwe, Cree, Oji-Cree, Dene, Dakota, and Michif. The framework is specifically intended for "use in additional language programming in which an Aboriginal language is taught as a separate subject" </w:t>
      </w:r>
      <w:sdt>
        <w:sdtPr>
          <w:id w:val="250468626"/>
          <w:citation/>
        </w:sdtPr>
        <w:sdtEndPr/>
        <w:sdtContent>
          <w:r w:rsidR="00BB578F">
            <w:fldChar w:fldCharType="begin"/>
          </w:r>
          <w:r w:rsidR="00BB578F">
            <w:instrText xml:space="preserve">CITATION Man07 \p 8 \n  \y  \l 2057 </w:instrText>
          </w:r>
          <w:r w:rsidR="00BB578F">
            <w:fldChar w:fldCharType="separate"/>
          </w:r>
          <w:r w:rsidR="00BB578F" w:rsidRPr="00BB578F">
            <w:rPr>
              <w:noProof/>
            </w:rPr>
            <w:t>(p. 8</w:t>
          </w:r>
          <w:r w:rsidR="00BB578F" w:rsidRPr="00BB578F">
            <w:rPr>
              <w:noProof/>
              <w:vertAlign w:val="subscript"/>
            </w:rPr>
            <w:t>[92]</w:t>
          </w:r>
          <w:r w:rsidR="00BB578F" w:rsidRPr="00BB578F">
            <w:rPr>
              <w:noProof/>
            </w:rPr>
            <w:t>)</w:t>
          </w:r>
          <w:r w:rsidR="00BB578F">
            <w:fldChar w:fldCharType="end"/>
          </w:r>
        </w:sdtContent>
      </w:sdt>
      <w:r w:rsidRPr="0074584D">
        <w:t xml:space="preserve">, not for mother tongue medium instruction. </w:t>
      </w:r>
    </w:p>
    <w:p w14:paraId="75C0821D" w14:textId="77777777" w:rsidR="006145A3" w:rsidRPr="00C40E4C" w:rsidRDefault="006145A3" w:rsidP="006145A3">
      <w:pPr>
        <w:pStyle w:val="Heading4"/>
        <w:numPr>
          <w:ilvl w:val="3"/>
          <w:numId w:val="22"/>
        </w:numPr>
        <w:rPr>
          <w:lang w:val="en-US"/>
        </w:rPr>
      </w:pPr>
      <w:r w:rsidRPr="00C40E4C">
        <w:rPr>
          <w:lang w:val="en-US"/>
        </w:rPr>
        <w:t>Northwest Territories</w:t>
      </w:r>
    </w:p>
    <w:p w14:paraId="754C9402" w14:textId="77777777" w:rsidR="006145A3" w:rsidRPr="0074584D" w:rsidRDefault="006145A3" w:rsidP="006145A3">
      <w:pPr>
        <w:pStyle w:val="Para0"/>
      </w:pPr>
      <w:r w:rsidRPr="0074584D">
        <w:t xml:space="preserve">The </w:t>
      </w:r>
      <w:r w:rsidRPr="0074584D">
        <w:rPr>
          <w:i/>
        </w:rPr>
        <w:t>Official Languages Act, RSNWT 1988, c O-1</w:t>
      </w:r>
      <w:r w:rsidRPr="0074584D">
        <w:t xml:space="preserve"> </w:t>
      </w:r>
      <w:r w:rsidRPr="005C35BB">
        <w:t>([Northwest Territories], 1988</w:t>
      </w:r>
      <w:r w:rsidRPr="0074584D">
        <w:t>) established Chipewyan, Cree, Gwich'in, Inuinnaqtun, Inuktitut, Inuvialuktun, North Slavey, South Slavey and Tåîchô as official languages alongside English and French. It established a Languages Commissioner, an Official Languages Board and a</w:t>
      </w:r>
      <w:r>
        <w:t>n Aboriginal Languages Revitalis</w:t>
      </w:r>
      <w:r w:rsidRPr="0074584D">
        <w:t>ation Board. The Act charged the Minister responsible for Official languages to "promote Official Languages education in schools and post-secondary institutions and in adult education and literacy training programmes".</w:t>
      </w:r>
    </w:p>
    <w:p w14:paraId="15D70C23" w14:textId="2A6532E0" w:rsidR="006145A3" w:rsidRPr="000970B7" w:rsidRDefault="006145A3" w:rsidP="006145A3">
      <w:pPr>
        <w:pStyle w:val="Para0"/>
      </w:pPr>
      <w:r w:rsidRPr="000970B7">
        <w:t xml:space="preserve">In the Northwest Territories the </w:t>
      </w:r>
      <w:r w:rsidRPr="000970B7">
        <w:rPr>
          <w:i/>
        </w:rPr>
        <w:t>NWT Aboriginal languages framework: A shared responsibility</w:t>
      </w:r>
      <w:r w:rsidRPr="000970B7">
        <w:t xml:space="preserve"> </w:t>
      </w:r>
      <w:sdt>
        <w:sdtPr>
          <w:id w:val="520130733"/>
          <w:citation/>
        </w:sdtPr>
        <w:sdtEndPr/>
        <w:sdtContent>
          <w:r w:rsidR="00BB578F">
            <w:fldChar w:fldCharType="begin"/>
          </w:r>
          <w:r w:rsidR="00BB578F">
            <w:instrText xml:space="preserve">CITATION Gov181 \l 2057 </w:instrText>
          </w:r>
          <w:r w:rsidR="00BB578F">
            <w:fldChar w:fldCharType="separate"/>
          </w:r>
          <w:r w:rsidR="00BB578F" w:rsidRPr="00BB578F">
            <w:rPr>
              <w:noProof/>
            </w:rPr>
            <w:t>(</w:t>
          </w:r>
          <w:bookmarkStart w:id="160" w:name="Gov181_93"/>
          <w:r w:rsidR="00BB578F" w:rsidRPr="00BB578F">
            <w:rPr>
              <w:noProof/>
            </w:rPr>
            <w:t>Government of Northwest Territories, 2018</w:t>
          </w:r>
          <w:r w:rsidR="00BB578F" w:rsidRPr="00BB578F">
            <w:rPr>
              <w:noProof/>
              <w:vertAlign w:val="subscript"/>
            </w:rPr>
            <w:t>[93]</w:t>
          </w:r>
          <w:r w:rsidR="00BB578F" w:rsidRPr="00BB578F">
            <w:rPr>
              <w:noProof/>
            </w:rPr>
            <w:t>)</w:t>
          </w:r>
          <w:bookmarkEnd w:id="160"/>
          <w:r w:rsidR="00BB578F">
            <w:fldChar w:fldCharType="end"/>
          </w:r>
        </w:sdtContent>
      </w:sdt>
      <w:r w:rsidRPr="000970B7">
        <w:t xml:space="preserve"> takes as its goals language revitalisation and language access. The Indigenous Languages and Education Secretariat implements the </w:t>
      </w:r>
      <w:r w:rsidRPr="000970B7">
        <w:rPr>
          <w:i/>
        </w:rPr>
        <w:t>Northwest Territories Junior Kindergarten – Grade 12 Indigenous Languages and Education Policy</w:t>
      </w:r>
      <w:r w:rsidRPr="000970B7">
        <w:t xml:space="preserve"> </w:t>
      </w:r>
      <w:sdt>
        <w:sdtPr>
          <w:id w:val="-951935052"/>
          <w:citation/>
        </w:sdtPr>
        <w:sdtEndPr/>
        <w:sdtContent>
          <w:r w:rsidR="00BB578F">
            <w:fldChar w:fldCharType="begin"/>
          </w:r>
          <w:r w:rsidR="00BB578F">
            <w:instrText xml:space="preserve">CITATION Dep182 \l 2057 </w:instrText>
          </w:r>
          <w:r w:rsidR="00BB578F">
            <w:fldChar w:fldCharType="separate"/>
          </w:r>
          <w:r w:rsidR="00BB578F" w:rsidRPr="00BB578F">
            <w:rPr>
              <w:noProof/>
            </w:rPr>
            <w:t>(</w:t>
          </w:r>
          <w:bookmarkStart w:id="161" w:name="Dep182_94"/>
          <w:r w:rsidR="00BB578F" w:rsidRPr="00BB578F">
            <w:rPr>
              <w:noProof/>
            </w:rPr>
            <w:t>Department of Education, Culture and Employment, 2018</w:t>
          </w:r>
          <w:r w:rsidR="00BB578F" w:rsidRPr="00BB578F">
            <w:rPr>
              <w:noProof/>
              <w:vertAlign w:val="subscript"/>
            </w:rPr>
            <w:t>[94]</w:t>
          </w:r>
          <w:r w:rsidR="00BB578F" w:rsidRPr="00BB578F">
            <w:rPr>
              <w:noProof/>
            </w:rPr>
            <w:t>)</w:t>
          </w:r>
          <w:bookmarkEnd w:id="161"/>
          <w:r w:rsidR="00BB578F">
            <w:fldChar w:fldCharType="end"/>
          </w:r>
        </w:sdtContent>
      </w:sdt>
      <w:r w:rsidRPr="000970B7">
        <w:t xml:space="preserve"> to provide Indigenous language instruction and culture-based school programmes to JK-12 students, for the Dene Kede and Inuuqatigiit languages.</w:t>
      </w:r>
    </w:p>
    <w:p w14:paraId="75F9547B" w14:textId="77777777" w:rsidR="006145A3" w:rsidRPr="00C40E4C" w:rsidRDefault="006145A3" w:rsidP="006145A3">
      <w:pPr>
        <w:pStyle w:val="Heading4"/>
        <w:numPr>
          <w:ilvl w:val="3"/>
          <w:numId w:val="22"/>
        </w:numPr>
        <w:rPr>
          <w:lang w:val="en-US"/>
        </w:rPr>
      </w:pPr>
      <w:r w:rsidRPr="00C40E4C">
        <w:rPr>
          <w:lang w:val="en-US"/>
        </w:rPr>
        <w:lastRenderedPageBreak/>
        <w:t>Nova Scotia</w:t>
      </w:r>
    </w:p>
    <w:p w14:paraId="792AF49B" w14:textId="30386CA7" w:rsidR="006145A3" w:rsidRPr="000970B7" w:rsidRDefault="006145A3" w:rsidP="006145A3">
      <w:pPr>
        <w:pStyle w:val="Para0"/>
        <w:rPr>
          <w:lang w:val="en-US"/>
        </w:rPr>
      </w:pPr>
      <w:r w:rsidRPr="000970B7">
        <w:rPr>
          <w:lang w:val="en-US"/>
        </w:rPr>
        <w:t xml:space="preserve">The </w:t>
      </w:r>
      <w:r w:rsidRPr="0030147F">
        <w:rPr>
          <w:bCs/>
          <w:i/>
          <w:lang w:val="en-US"/>
        </w:rPr>
        <w:t>Mi’kmaq Education Act</w:t>
      </w:r>
      <w:r w:rsidRPr="0030147F">
        <w:rPr>
          <w:bCs/>
          <w:lang w:val="en-US"/>
        </w:rPr>
        <w:t xml:space="preserve"> (</w:t>
      </w:r>
      <w:r w:rsidRPr="000970B7">
        <w:rPr>
          <w:lang w:val="en-US"/>
        </w:rPr>
        <w:t xml:space="preserve">S.C. 1998, c. 24) established a corporation, </w:t>
      </w:r>
      <w:r w:rsidRPr="000970B7">
        <w:t>Mi’kmaw-Kina’matnewey, to support the delivery of educational programmes. In partnership with the Nova Scotian government</w:t>
      </w:r>
      <w:r>
        <w:t>,</w:t>
      </w:r>
      <w:r w:rsidRPr="000970B7">
        <w:t xml:space="preserve"> </w:t>
      </w:r>
      <w:r>
        <w:t>it</w:t>
      </w:r>
      <w:r w:rsidRPr="000970B7">
        <w:t xml:space="preserve"> published a curriculum document </w:t>
      </w:r>
      <w:r w:rsidRPr="000970B7">
        <w:rPr>
          <w:i/>
        </w:rPr>
        <w:t>Foundation for</w:t>
      </w:r>
      <w:r w:rsidRPr="000970B7">
        <w:rPr>
          <w:i/>
          <w:lang w:val="en-US"/>
        </w:rPr>
        <w:t xml:space="preserve"> </w:t>
      </w:r>
      <w:r w:rsidRPr="000970B7">
        <w:rPr>
          <w:i/>
        </w:rPr>
        <w:t>Mi’kmaw Language Curriculum</w:t>
      </w:r>
      <w:r w:rsidRPr="000970B7">
        <w:t xml:space="preserve">, </w:t>
      </w:r>
      <w:sdt>
        <w:sdtPr>
          <w:id w:val="354777344"/>
          <w:citation/>
        </w:sdtPr>
        <w:sdtEndPr/>
        <w:sdtContent>
          <w:r w:rsidR="000B5DAB">
            <w:fldChar w:fldCharType="begin"/>
          </w:r>
          <w:r w:rsidR="000B5DAB">
            <w:instrText xml:space="preserve"> CITATION Dep15 \l 2057 </w:instrText>
          </w:r>
          <w:r w:rsidR="000B5DAB">
            <w:fldChar w:fldCharType="separate"/>
          </w:r>
          <w:r w:rsidR="000B5DAB" w:rsidRPr="000B5DAB">
            <w:rPr>
              <w:noProof/>
            </w:rPr>
            <w:t>(</w:t>
          </w:r>
          <w:bookmarkStart w:id="162" w:name="Dep15_95"/>
          <w:r w:rsidR="000B5DAB" w:rsidRPr="000B5DAB">
            <w:rPr>
              <w:noProof/>
            </w:rPr>
            <w:t>Department of Education and Early Childhood Development (Nova Scotia), 2015</w:t>
          </w:r>
          <w:r w:rsidR="000B5DAB" w:rsidRPr="000B5DAB">
            <w:rPr>
              <w:noProof/>
              <w:vertAlign w:val="subscript"/>
            </w:rPr>
            <w:t>[95]</w:t>
          </w:r>
          <w:r w:rsidR="000B5DAB" w:rsidRPr="000B5DAB">
            <w:rPr>
              <w:noProof/>
            </w:rPr>
            <w:t>)</w:t>
          </w:r>
          <w:bookmarkEnd w:id="162"/>
          <w:r w:rsidR="000B5DAB">
            <w:fldChar w:fldCharType="end"/>
          </w:r>
        </w:sdtContent>
      </w:sdt>
      <w:r>
        <w:t xml:space="preserve"> "to reclaim, revitalis</w:t>
      </w:r>
      <w:r w:rsidRPr="000970B7">
        <w:t>e, and reinstate the traditional language of the Mi’kmaw and to re-establish its use in daily situations". The guiding principles are that Mi’kmaw should "be the primary language of communication in the classroom", that culture is embedded in language, and that classrooms should be safe places, respecting differences in dialects and levels of language acquisition.</w:t>
      </w:r>
      <w:r w:rsidRPr="000970B7">
        <w:rPr>
          <w:lang w:val="en-US"/>
        </w:rPr>
        <w:t xml:space="preserve"> </w:t>
      </w:r>
    </w:p>
    <w:p w14:paraId="7FF6DD4F" w14:textId="77777777" w:rsidR="006145A3" w:rsidRPr="00C40E4C" w:rsidRDefault="006145A3" w:rsidP="006145A3">
      <w:pPr>
        <w:pStyle w:val="Heading4"/>
        <w:numPr>
          <w:ilvl w:val="3"/>
          <w:numId w:val="22"/>
        </w:numPr>
        <w:rPr>
          <w:lang w:val="en-US"/>
        </w:rPr>
      </w:pPr>
      <w:r w:rsidRPr="00DE6C5F">
        <w:t>Nunavut</w:t>
      </w:r>
    </w:p>
    <w:p w14:paraId="3C951B68" w14:textId="77777777" w:rsidR="006145A3" w:rsidRPr="00862D5A" w:rsidRDefault="006145A3" w:rsidP="006145A3">
      <w:pPr>
        <w:pStyle w:val="Para0"/>
      </w:pPr>
      <w:r>
        <w:t xml:space="preserve">The </w:t>
      </w:r>
      <w:r w:rsidRPr="00862D5A">
        <w:rPr>
          <w:i/>
        </w:rPr>
        <w:t>Inuit Language Protection Act</w:t>
      </w:r>
      <w:r w:rsidRPr="00862D5A">
        <w:t>, SNu 2008, c 17 ([</w:t>
      </w:r>
      <w:r w:rsidRPr="005C35BB">
        <w:t>Nunavut Territory], 2008</w:t>
      </w:r>
      <w:r w:rsidRPr="00862D5A">
        <w:t>) has a strong and clear statement affirming the language of the Inuit people as:</w:t>
      </w:r>
    </w:p>
    <w:p w14:paraId="3F493A6D" w14:textId="77777777" w:rsidR="006145A3" w:rsidRPr="00DE6C5F" w:rsidRDefault="006145A3" w:rsidP="006145A3">
      <w:pPr>
        <w:pStyle w:val="Quote"/>
      </w:pPr>
      <w:r w:rsidRPr="00862D5A">
        <w:t xml:space="preserve">(a) a language of education, in a system that in both its design and effect strives to equip </w:t>
      </w:r>
      <w:r w:rsidRPr="00DE6C5F">
        <w:t xml:space="preserve">Inuit children to enter adult life as world citizens having a rich knowledge of the Inuit Language and full ability to participate in the day-to-day life, development and cultural vibrancy of their communities and homeland; </w:t>
      </w:r>
    </w:p>
    <w:p w14:paraId="775332AC" w14:textId="77777777" w:rsidR="006145A3" w:rsidRPr="00DE6C5F" w:rsidRDefault="006145A3" w:rsidP="006145A3">
      <w:pPr>
        <w:pStyle w:val="Quote"/>
      </w:pPr>
      <w:r w:rsidRPr="00DE6C5F">
        <w:t xml:space="preserve">(b) a language of work in territorial institutions, and a necessary element in: </w:t>
      </w:r>
    </w:p>
    <w:p w14:paraId="4DCBF0D6" w14:textId="77777777" w:rsidR="006145A3" w:rsidRPr="00DE6C5F" w:rsidRDefault="006145A3" w:rsidP="006145A3">
      <w:pPr>
        <w:pStyle w:val="Quote"/>
      </w:pPr>
      <w:r w:rsidRPr="00DE6C5F">
        <w:t xml:space="preserve">(i) the development of a representative and appropriate public service environment in Nunavut; and </w:t>
      </w:r>
    </w:p>
    <w:p w14:paraId="23E3216D" w14:textId="77777777" w:rsidR="006145A3" w:rsidRPr="00DE6C5F" w:rsidRDefault="006145A3" w:rsidP="006145A3">
      <w:pPr>
        <w:pStyle w:val="Quote"/>
      </w:pPr>
      <w:r w:rsidRPr="00DE6C5F">
        <w:t xml:space="preserve">(ii) the full and representative participation of the Inuit of Nunavut in the economic opportunities and development of Nunavut; and </w:t>
      </w:r>
    </w:p>
    <w:p w14:paraId="5B862AB6" w14:textId="77777777" w:rsidR="006145A3" w:rsidRPr="00DE6C5F" w:rsidRDefault="006145A3" w:rsidP="006145A3">
      <w:pPr>
        <w:pStyle w:val="Quote"/>
      </w:pPr>
      <w:r w:rsidRPr="00DE6C5F">
        <w:t xml:space="preserve">(c) a language used daily in services and communication with the public throughout all sectors of Nunavut society. </w:t>
      </w:r>
    </w:p>
    <w:p w14:paraId="45217955" w14:textId="77777777" w:rsidR="006145A3" w:rsidRPr="00862D5A" w:rsidRDefault="006145A3" w:rsidP="006145A3">
      <w:pPr>
        <w:pStyle w:val="Para0"/>
      </w:pPr>
      <w:r>
        <w:t>The Act</w:t>
      </w:r>
      <w:r w:rsidRPr="00862D5A">
        <w:t xml:space="preserve"> also lays out the responsibility of governments to honour the right of children to receive language instruction in Inuktut</w:t>
      </w:r>
      <w:r>
        <w:t xml:space="preserve">, </w:t>
      </w:r>
      <w:r w:rsidRPr="000E124F">
        <w:t>a term for all Inuit languages, including Inuktitut, Inuinnaqtun and Inuvialuktun, with Inuktitut the dialect primarily used in Nunavut</w:t>
      </w:r>
      <w:r w:rsidRPr="00862D5A">
        <w:t xml:space="preserve">. </w:t>
      </w:r>
    </w:p>
    <w:p w14:paraId="30389D54" w14:textId="1F569D55" w:rsidR="006145A3" w:rsidRPr="000970B7" w:rsidRDefault="006145A3" w:rsidP="006145A3">
      <w:pPr>
        <w:pStyle w:val="Para0"/>
      </w:pPr>
      <w:r w:rsidRPr="000970B7">
        <w:t xml:space="preserve">Despite some indications of government support for mother tongue medium education in Inuktut, practical initiatives that would ensure implementation appear to have been lacking </w:t>
      </w:r>
      <w:sdt>
        <w:sdtPr>
          <w:id w:val="1935777930"/>
          <w:citation/>
        </w:sdtPr>
        <w:sdtEndPr/>
        <w:sdtContent>
          <w:r w:rsidR="000B5DAB">
            <w:fldChar w:fldCharType="begin"/>
          </w:r>
          <w:r w:rsidR="000B5DAB">
            <w:instrText xml:space="preserve"> CITATION Mar19 \l 2057 </w:instrText>
          </w:r>
          <w:r w:rsidR="000B5DAB">
            <w:fldChar w:fldCharType="separate"/>
          </w:r>
          <w:r w:rsidR="000B5DAB" w:rsidRPr="000B5DAB">
            <w:rPr>
              <w:noProof/>
            </w:rPr>
            <w:t>(</w:t>
          </w:r>
          <w:bookmarkStart w:id="163" w:name="Mar19_96"/>
          <w:r w:rsidR="000B5DAB" w:rsidRPr="000B5DAB">
            <w:rPr>
              <w:noProof/>
            </w:rPr>
            <w:t>Martin, 2019</w:t>
          </w:r>
          <w:r w:rsidR="000B5DAB" w:rsidRPr="000B5DAB">
            <w:rPr>
              <w:noProof/>
              <w:vertAlign w:val="subscript"/>
            </w:rPr>
            <w:t>[96]</w:t>
          </w:r>
          <w:r w:rsidR="000B5DAB" w:rsidRPr="000B5DAB">
            <w:rPr>
              <w:noProof/>
            </w:rPr>
            <w:t>)</w:t>
          </w:r>
          <w:bookmarkEnd w:id="163"/>
          <w:r w:rsidR="000B5DAB">
            <w:fldChar w:fldCharType="end"/>
          </w:r>
        </w:sdtContent>
      </w:sdt>
      <w:r w:rsidRPr="000970B7">
        <w:t xml:space="preserve">. In 2019, following the passage of the </w:t>
      </w:r>
      <w:r w:rsidRPr="0074584D">
        <w:rPr>
          <w:i/>
        </w:rPr>
        <w:t>Indigenous Languages Act</w:t>
      </w:r>
      <w:r w:rsidRPr="000970B7">
        <w:t xml:space="preserve">, it was announced </w:t>
      </w:r>
      <w:sdt>
        <w:sdtPr>
          <w:id w:val="-1656674062"/>
          <w:citation/>
        </w:sdtPr>
        <w:sdtEndPr/>
        <w:sdtContent>
          <w:r w:rsidR="000B5DAB">
            <w:fldChar w:fldCharType="begin"/>
          </w:r>
          <w:r w:rsidR="000B5DAB">
            <w:instrText xml:space="preserve"> CITATION Dep191 \l 2057 </w:instrText>
          </w:r>
          <w:r w:rsidR="000B5DAB">
            <w:fldChar w:fldCharType="separate"/>
          </w:r>
          <w:r w:rsidR="000B5DAB" w:rsidRPr="000B5DAB">
            <w:rPr>
              <w:noProof/>
            </w:rPr>
            <w:t>(</w:t>
          </w:r>
          <w:bookmarkStart w:id="164" w:name="Dep191_97"/>
          <w:r w:rsidR="000B5DAB" w:rsidRPr="000B5DAB">
            <w:rPr>
              <w:noProof/>
            </w:rPr>
            <w:t>Department of Education, Nunavut, 2019</w:t>
          </w:r>
          <w:r w:rsidR="000B5DAB" w:rsidRPr="000B5DAB">
            <w:rPr>
              <w:noProof/>
              <w:vertAlign w:val="subscript"/>
            </w:rPr>
            <w:t>[97]</w:t>
          </w:r>
          <w:r w:rsidR="000B5DAB" w:rsidRPr="000B5DAB">
            <w:rPr>
              <w:noProof/>
            </w:rPr>
            <w:t>)</w:t>
          </w:r>
          <w:bookmarkEnd w:id="164"/>
          <w:r w:rsidR="000B5DAB">
            <w:fldChar w:fldCharType="end"/>
          </w:r>
        </w:sdtContent>
      </w:sdt>
      <w:r w:rsidRPr="000970B7">
        <w:t xml:space="preserve"> that the Government of Canada would commit up to 42</w:t>
      </w:r>
      <w:r>
        <w:t> </w:t>
      </w:r>
      <w:r w:rsidRPr="000970B7">
        <w:t xml:space="preserve">million dollars over a five-year period as part of a collaboration with the Government of Nunavut, and the legal representative of the Inuit, Nunavut Tunngavik Incorporated, for increasing access to Inuktut-language instruction in Nunavut, and increasing the number of proficient Inuktut-speaking Inuit educators and fluent Inuktut speakers. </w:t>
      </w:r>
    </w:p>
    <w:p w14:paraId="06F86521" w14:textId="77777777" w:rsidR="006145A3" w:rsidRPr="00C40E4C" w:rsidRDefault="006145A3" w:rsidP="006145A3">
      <w:pPr>
        <w:pStyle w:val="Heading4"/>
        <w:numPr>
          <w:ilvl w:val="3"/>
          <w:numId w:val="22"/>
        </w:numPr>
        <w:rPr>
          <w:lang w:val="en-US"/>
        </w:rPr>
      </w:pPr>
      <w:r w:rsidRPr="00DE6C5F">
        <w:t>Saskatchewan</w:t>
      </w:r>
    </w:p>
    <w:p w14:paraId="024C4CA7" w14:textId="587F3A7A" w:rsidR="006145A3" w:rsidRPr="000970B7" w:rsidRDefault="006145A3" w:rsidP="006145A3">
      <w:pPr>
        <w:pStyle w:val="Para0"/>
      </w:pPr>
      <w:r w:rsidRPr="000970B7">
        <w:t xml:space="preserve">In </w:t>
      </w:r>
      <w:r w:rsidRPr="000970B7">
        <w:rPr>
          <w:bCs/>
        </w:rPr>
        <w:t>Saskatchewan</w:t>
      </w:r>
      <w:r w:rsidRPr="000970B7">
        <w:t xml:space="preserve"> valuing and supporting First Nations and Métis languages and cultures is the first goal of the 2018 </w:t>
      </w:r>
      <w:r w:rsidRPr="000970B7">
        <w:rPr>
          <w:i/>
        </w:rPr>
        <w:t>Inspiring Success: First Nations and Métis PreK-12 Education Policy Framework</w:t>
      </w:r>
      <w:r w:rsidRPr="000970B7">
        <w:t xml:space="preserve"> </w:t>
      </w:r>
      <w:sdt>
        <w:sdtPr>
          <w:id w:val="469333081"/>
          <w:citation/>
        </w:sdtPr>
        <w:sdtEndPr/>
        <w:sdtContent>
          <w:r w:rsidR="001143C6">
            <w:fldChar w:fldCharType="begin"/>
          </w:r>
          <w:r w:rsidR="001143C6">
            <w:instrText xml:space="preserve">CITATION Min18 \l 2057 </w:instrText>
          </w:r>
          <w:r w:rsidR="001143C6">
            <w:fldChar w:fldCharType="separate"/>
          </w:r>
          <w:r w:rsidR="001143C6" w:rsidRPr="001143C6">
            <w:rPr>
              <w:noProof/>
            </w:rPr>
            <w:t>(</w:t>
          </w:r>
          <w:bookmarkStart w:id="165" w:name="Min18_98"/>
          <w:r w:rsidR="001143C6" w:rsidRPr="001143C6">
            <w:rPr>
              <w:noProof/>
            </w:rPr>
            <w:t>Ministry of Education, 2018</w:t>
          </w:r>
          <w:r w:rsidR="001143C6" w:rsidRPr="001143C6">
            <w:rPr>
              <w:noProof/>
              <w:vertAlign w:val="subscript"/>
            </w:rPr>
            <w:t>[98]</w:t>
          </w:r>
          <w:r w:rsidR="001143C6" w:rsidRPr="001143C6">
            <w:rPr>
              <w:noProof/>
            </w:rPr>
            <w:t>)</w:t>
          </w:r>
          <w:bookmarkEnd w:id="165"/>
          <w:r w:rsidR="001143C6">
            <w:fldChar w:fldCharType="end"/>
          </w:r>
        </w:sdtContent>
      </w:sdt>
      <w:r w:rsidRPr="000970B7">
        <w:t xml:space="preserve">. There is also a generic </w:t>
      </w:r>
      <w:r w:rsidRPr="000970B7">
        <w:rPr>
          <w:i/>
        </w:rPr>
        <w:t>Saskatchewan curriculum: Aboriginal Languages K-12</w:t>
      </w:r>
      <w:r w:rsidRPr="000970B7">
        <w:t xml:space="preserve"> </w:t>
      </w:r>
      <w:sdt>
        <w:sdtPr>
          <w:id w:val="-1094860027"/>
          <w:citation/>
        </w:sdtPr>
        <w:sdtEndPr/>
        <w:sdtContent>
          <w:r w:rsidR="00C43612">
            <w:fldChar w:fldCharType="begin"/>
          </w:r>
          <w:r w:rsidR="00C43612">
            <w:instrText xml:space="preserve">CITATION 2110 \l 2057 </w:instrText>
          </w:r>
          <w:r w:rsidR="00C43612">
            <w:fldChar w:fldCharType="separate"/>
          </w:r>
          <w:r w:rsidR="00C43612" w:rsidRPr="00C43612">
            <w:rPr>
              <w:noProof/>
            </w:rPr>
            <w:t>(</w:t>
          </w:r>
          <w:bookmarkStart w:id="166" w:name="2110_99"/>
          <w:r w:rsidR="00C43612" w:rsidRPr="00C43612">
            <w:rPr>
              <w:noProof/>
            </w:rPr>
            <w:t>Saskatchewan Education Training and Employment, 1994</w:t>
          </w:r>
          <w:r w:rsidR="00C43612" w:rsidRPr="00C43612">
            <w:rPr>
              <w:noProof/>
              <w:vertAlign w:val="subscript"/>
            </w:rPr>
            <w:t>[99]</w:t>
          </w:r>
          <w:r w:rsidR="00C43612" w:rsidRPr="00C43612">
            <w:rPr>
              <w:noProof/>
            </w:rPr>
            <w:t>)</w:t>
          </w:r>
          <w:bookmarkEnd w:id="166"/>
          <w:r w:rsidR="00C43612">
            <w:fldChar w:fldCharType="end"/>
          </w:r>
        </w:sdtContent>
      </w:sdt>
      <w:r w:rsidRPr="000970B7">
        <w:t xml:space="preserve">. </w:t>
      </w:r>
    </w:p>
    <w:p w14:paraId="442555D8" w14:textId="77777777" w:rsidR="006145A3" w:rsidRPr="00C40E4C" w:rsidRDefault="006145A3" w:rsidP="006145A3">
      <w:pPr>
        <w:pStyle w:val="Heading4"/>
        <w:numPr>
          <w:ilvl w:val="3"/>
          <w:numId w:val="22"/>
        </w:numPr>
        <w:rPr>
          <w:lang w:val="en-US"/>
        </w:rPr>
      </w:pPr>
      <w:r w:rsidRPr="00C40E4C">
        <w:rPr>
          <w:lang w:val="en-US"/>
        </w:rPr>
        <w:t xml:space="preserve">The </w:t>
      </w:r>
      <w:r w:rsidRPr="00DE6C5F">
        <w:t>Yukon</w:t>
      </w:r>
    </w:p>
    <w:p w14:paraId="675B1BA1" w14:textId="77777777" w:rsidR="006145A3" w:rsidRPr="00862D5A" w:rsidRDefault="006145A3" w:rsidP="006145A3">
      <w:pPr>
        <w:pStyle w:val="Para0"/>
      </w:pPr>
      <w:r w:rsidRPr="00862D5A">
        <w:t xml:space="preserve">The </w:t>
      </w:r>
      <w:r w:rsidRPr="00862D5A">
        <w:rPr>
          <w:i/>
        </w:rPr>
        <w:t>Languages Act</w:t>
      </w:r>
      <w:r w:rsidRPr="00862D5A">
        <w:t xml:space="preserve"> RSY 2002, c.133; amended by SY 2016, c.5</w:t>
      </w:r>
      <w:r>
        <w:t xml:space="preserve"> </w:t>
      </w:r>
      <w:r w:rsidRPr="005C35BB">
        <w:t>([Government of Yukon], 2002b</w:t>
      </w:r>
      <w:r w:rsidRPr="00862D5A">
        <w:t>) recognis</w:t>
      </w:r>
      <w:r>
        <w:t>ed</w:t>
      </w:r>
      <w:r w:rsidRPr="00862D5A">
        <w:t xml:space="preserve"> English and French as official languages and extend</w:t>
      </w:r>
      <w:r>
        <w:t>ed</w:t>
      </w:r>
      <w:r w:rsidRPr="00862D5A">
        <w:t xml:space="preserve"> "the recognition of French and the provision of services in French in the Yukon"</w:t>
      </w:r>
      <w:r>
        <w:t>. The</w:t>
      </w:r>
      <w:r w:rsidRPr="00862D5A">
        <w:t xml:space="preserve"> </w:t>
      </w:r>
      <w:r>
        <w:t>A</w:t>
      </w:r>
      <w:r w:rsidRPr="00862D5A">
        <w:t>ct also recogni</w:t>
      </w:r>
      <w:r>
        <w:t>sed</w:t>
      </w:r>
      <w:r w:rsidRPr="00862D5A">
        <w:t xml:space="preserve"> </w:t>
      </w:r>
      <w:r>
        <w:t>“</w:t>
      </w:r>
      <w:r w:rsidRPr="00862D5A">
        <w:t xml:space="preserve">the significance of aboriginal languages in the Yukon and wishes to take appropriate measures to preserve, develop, and enhance those </w:t>
      </w:r>
      <w:r w:rsidRPr="00862D5A">
        <w:lastRenderedPageBreak/>
        <w:t xml:space="preserve">languages in the Yukon". The </w:t>
      </w:r>
      <w:r w:rsidRPr="00862D5A">
        <w:rPr>
          <w:i/>
        </w:rPr>
        <w:t>Education Act</w:t>
      </w:r>
      <w:r w:rsidRPr="00862D5A">
        <w:t xml:space="preserve">, RSY 2002, c 61 </w:t>
      </w:r>
      <w:r w:rsidRPr="005C35BB">
        <w:t>([Government of Yukon], 2002a</w:t>
      </w:r>
      <w:r w:rsidRPr="00862D5A">
        <w:t>) recognises that the Yukon curriculum must include the cultural and linguistic heritage of Yukon aboriginal people and the multicultural heritage of Canada; and specifically allows (s50(1)) the language of instructions to be in an Indigenous language of the Yukon, as well as providing for the employment of Indigenous teachers and the creation of resources in Indigenous languages (s52(1-4)). It also set up a Central Indian Education Authority (s54(1)).</w:t>
      </w:r>
    </w:p>
    <w:p w14:paraId="2D3FF05E" w14:textId="77777777" w:rsidR="006145A3" w:rsidRPr="000970B7" w:rsidRDefault="006145A3" w:rsidP="006145A3">
      <w:pPr>
        <w:pStyle w:val="Para0"/>
      </w:pPr>
      <w:r w:rsidRPr="000970B7">
        <w:t xml:space="preserve">In the </w:t>
      </w:r>
      <w:r w:rsidRPr="000970B7">
        <w:rPr>
          <w:bCs/>
        </w:rPr>
        <w:t>Yukon</w:t>
      </w:r>
      <w:r w:rsidRPr="000970B7">
        <w:t xml:space="preserve"> in 2008 many Yukon First Nations took responsibility for Aboriginal languages under Self-Government Agreements. The Yukon Department of Education, in collaboration with Yukon First Nations, the Council of Yukon First Nations, and the Yukon Native Language Centre, supports the teaching of seven of these languages in school-based pr</w:t>
      </w:r>
      <w:r>
        <w:t>ogrammes that involve nearly 2 </w:t>
      </w:r>
      <w:r w:rsidRPr="000970B7">
        <w:t>000 Yukon K-12 students every week. The Education website states that they follow the British Columbia curriculum with adaptation to incorporate "Yukon First Nations language, history, culture and ways of knowing, doing and being into all subject areas and grade levels". This includes "instruction in Gwich'in, Northern Tutchone, Kaska, Tlingit, Southern Tutchone, Upper Tanana, and Hän languages</w:t>
      </w:r>
      <w:r>
        <w:t xml:space="preserve"> </w:t>
      </w:r>
      <w:r w:rsidRPr="000970B7">
        <w:t xml:space="preserve">in certain schools". </w:t>
      </w:r>
    </w:p>
    <w:p w14:paraId="08F509D0" w14:textId="77777777" w:rsidR="006145A3" w:rsidRPr="00C40E4C" w:rsidRDefault="006145A3" w:rsidP="006145A3">
      <w:pPr>
        <w:pStyle w:val="Heading4"/>
        <w:numPr>
          <w:ilvl w:val="3"/>
          <w:numId w:val="22"/>
        </w:numPr>
        <w:rPr>
          <w:lang w:val="en-US"/>
        </w:rPr>
      </w:pPr>
      <w:r w:rsidRPr="00C40E4C">
        <w:rPr>
          <w:lang w:val="en-US"/>
        </w:rPr>
        <w:t xml:space="preserve">New </w:t>
      </w:r>
      <w:r w:rsidRPr="00DE6C5F">
        <w:t>Brunswick</w:t>
      </w:r>
    </w:p>
    <w:p w14:paraId="3B8624DD" w14:textId="6617CE0A" w:rsidR="006145A3" w:rsidRPr="000970B7" w:rsidRDefault="006145A3" w:rsidP="006145A3">
      <w:pPr>
        <w:pStyle w:val="Para0"/>
      </w:pPr>
      <w:r w:rsidRPr="000970B7">
        <w:t xml:space="preserve">In </w:t>
      </w:r>
      <w:r w:rsidRPr="000970B7">
        <w:rPr>
          <w:bCs/>
        </w:rPr>
        <w:t>New Brunswick</w:t>
      </w:r>
      <w:r w:rsidRPr="000970B7">
        <w:t xml:space="preserve"> the 2017 </w:t>
      </w:r>
      <w:r w:rsidRPr="000970B7">
        <w:rPr>
          <w:i/>
        </w:rPr>
        <w:t xml:space="preserve">Expecting the best from everyone: Recommendations for a 10-year education plan </w:t>
      </w:r>
      <w:r w:rsidRPr="000970B7">
        <w:t xml:space="preserve">(Anglophone sector) </w:t>
      </w:r>
      <w:sdt>
        <w:sdtPr>
          <w:id w:val="247939188"/>
          <w:citation/>
        </w:sdtPr>
        <w:sdtEndPr/>
        <w:sdtContent>
          <w:r w:rsidR="00536A49">
            <w:fldChar w:fldCharType="begin"/>
          </w:r>
          <w:r w:rsidR="00536A49">
            <w:instrText xml:space="preserve"> CITATION Pro16 \l 2057 </w:instrText>
          </w:r>
          <w:r w:rsidR="00536A49">
            <w:fldChar w:fldCharType="separate"/>
          </w:r>
          <w:r w:rsidR="00536A49" w:rsidRPr="00536A49">
            <w:rPr>
              <w:noProof/>
            </w:rPr>
            <w:t>(</w:t>
          </w:r>
          <w:bookmarkStart w:id="167" w:name="Pro16_100"/>
          <w:r w:rsidR="00536A49" w:rsidRPr="00536A49">
            <w:rPr>
              <w:noProof/>
            </w:rPr>
            <w:t>Province of New Brunswick, 2016</w:t>
          </w:r>
          <w:r w:rsidR="00536A49" w:rsidRPr="00536A49">
            <w:rPr>
              <w:noProof/>
              <w:vertAlign w:val="subscript"/>
            </w:rPr>
            <w:t>[100]</w:t>
          </w:r>
          <w:r w:rsidR="00536A49" w:rsidRPr="00536A49">
            <w:rPr>
              <w:noProof/>
            </w:rPr>
            <w:t>)</w:t>
          </w:r>
          <w:bookmarkEnd w:id="167"/>
          <w:r w:rsidR="00536A49">
            <w:fldChar w:fldCharType="end"/>
          </w:r>
        </w:sdtContent>
      </w:sdt>
      <w:r w:rsidRPr="000970B7">
        <w:t xml:space="preserve"> expresses the desire to honour First Nations people. While there is no mention of First Nations languages, </w:t>
      </w:r>
      <w:r>
        <w:t>the plan nonetheless means that</w:t>
      </w:r>
      <w:r w:rsidRPr="000970B7">
        <w:t xml:space="preserve"> </w:t>
      </w:r>
      <w:r w:rsidRPr="000970B7">
        <w:rPr>
          <w:color w:val="222222"/>
        </w:rPr>
        <w:t>"</w:t>
      </w:r>
      <w:r w:rsidRPr="000970B7">
        <w:t>high school students with First Nations backgrounds can</w:t>
      </w:r>
      <w:r>
        <w:t xml:space="preserve"> </w:t>
      </w:r>
      <w:r w:rsidRPr="000970B7">
        <w:t>take advanced Mi'kmaq and Wolasoquey language courses"</w:t>
      </w:r>
      <w:r w:rsidRPr="000970B7">
        <w:rPr>
          <w:color w:val="222222"/>
        </w:rPr>
        <w:t xml:space="preserve"> </w:t>
      </w:r>
      <w:sdt>
        <w:sdtPr>
          <w:rPr>
            <w:color w:val="222222"/>
          </w:rPr>
          <w:id w:val="13035751"/>
          <w:citation/>
        </w:sdtPr>
        <w:sdtEndPr/>
        <w:sdtContent>
          <w:r w:rsidR="00B2512C">
            <w:rPr>
              <w:color w:val="222222"/>
            </w:rPr>
            <w:fldChar w:fldCharType="begin"/>
          </w:r>
          <w:r w:rsidR="00B2512C">
            <w:rPr>
              <w:color w:val="222222"/>
            </w:rPr>
            <w:instrText xml:space="preserve"> CITATION Bak17 \l 2057 </w:instrText>
          </w:r>
          <w:r w:rsidR="00B2512C">
            <w:rPr>
              <w:color w:val="222222"/>
            </w:rPr>
            <w:fldChar w:fldCharType="separate"/>
          </w:r>
          <w:r w:rsidR="00B2512C" w:rsidRPr="00B2512C">
            <w:rPr>
              <w:noProof/>
              <w:color w:val="222222"/>
            </w:rPr>
            <w:t>(</w:t>
          </w:r>
          <w:bookmarkStart w:id="168" w:name="Bak17_101"/>
          <w:r w:rsidR="00B2512C" w:rsidRPr="00B2512C">
            <w:rPr>
              <w:noProof/>
              <w:color w:val="222222"/>
            </w:rPr>
            <w:t>Baker, 2017</w:t>
          </w:r>
          <w:r w:rsidR="00B2512C" w:rsidRPr="00B2512C">
            <w:rPr>
              <w:noProof/>
              <w:color w:val="222222"/>
              <w:vertAlign w:val="subscript"/>
            </w:rPr>
            <w:t>[101]</w:t>
          </w:r>
          <w:r w:rsidR="00B2512C" w:rsidRPr="00B2512C">
            <w:rPr>
              <w:noProof/>
              <w:color w:val="222222"/>
            </w:rPr>
            <w:t>)</w:t>
          </w:r>
          <w:bookmarkEnd w:id="168"/>
          <w:r w:rsidR="00B2512C">
            <w:rPr>
              <w:color w:val="222222"/>
            </w:rPr>
            <w:fldChar w:fldCharType="end"/>
          </w:r>
        </w:sdtContent>
      </w:sdt>
      <w:r w:rsidRPr="000970B7">
        <w:t>.</w:t>
      </w:r>
    </w:p>
    <w:p w14:paraId="244103E2" w14:textId="77777777" w:rsidR="006145A3" w:rsidRPr="00C40E4C" w:rsidRDefault="006145A3" w:rsidP="006145A3">
      <w:pPr>
        <w:pStyle w:val="Heading4"/>
        <w:numPr>
          <w:ilvl w:val="3"/>
          <w:numId w:val="22"/>
        </w:numPr>
        <w:rPr>
          <w:lang w:val="en-US"/>
        </w:rPr>
      </w:pPr>
      <w:r w:rsidRPr="00C40E4C">
        <w:rPr>
          <w:lang w:val="en-US"/>
        </w:rPr>
        <w:t>Newfoundland and Labrador</w:t>
      </w:r>
    </w:p>
    <w:p w14:paraId="6D3EC785" w14:textId="52271954" w:rsidR="006145A3" w:rsidRPr="000970B7" w:rsidRDefault="006145A3" w:rsidP="006145A3">
      <w:pPr>
        <w:pStyle w:val="Para0"/>
      </w:pPr>
      <w:r w:rsidRPr="000970B7">
        <w:rPr>
          <w:bCs/>
        </w:rPr>
        <w:t>In Newfoundland and Labrador</w:t>
      </w:r>
      <w:r w:rsidRPr="000970B7">
        <w:t xml:space="preserve"> The </w:t>
      </w:r>
      <w:r w:rsidRPr="000970B7">
        <w:rPr>
          <w:i/>
        </w:rPr>
        <w:t>Education Action Plan: The way forward</w:t>
      </w:r>
      <w:r>
        <w:rPr>
          <w:i/>
        </w:rPr>
        <w:t xml:space="preserve"> </w:t>
      </w:r>
      <w:sdt>
        <w:sdtPr>
          <w:rPr>
            <w:i/>
          </w:rPr>
          <w:id w:val="895558890"/>
          <w:citation/>
        </w:sdtPr>
        <w:sdtEndPr/>
        <w:sdtContent>
          <w:r w:rsidR="00B2512C">
            <w:rPr>
              <w:i/>
            </w:rPr>
            <w:fldChar w:fldCharType="begin"/>
          </w:r>
          <w:r w:rsidR="00B2512C">
            <w:rPr>
              <w:i/>
            </w:rPr>
            <w:instrText xml:space="preserve"> CITATION Edu18 \l 2057 </w:instrText>
          </w:r>
          <w:r w:rsidR="00B2512C">
            <w:rPr>
              <w:i/>
            </w:rPr>
            <w:fldChar w:fldCharType="separate"/>
          </w:r>
          <w:r w:rsidR="00B2512C" w:rsidRPr="00B2512C">
            <w:rPr>
              <w:noProof/>
            </w:rPr>
            <w:t>(</w:t>
          </w:r>
          <w:bookmarkStart w:id="169" w:name="Edu18_102"/>
          <w:r w:rsidR="00B2512C" w:rsidRPr="00B2512C">
            <w:rPr>
              <w:noProof/>
            </w:rPr>
            <w:t>Education and Early Childhood Development, 2018</w:t>
          </w:r>
          <w:r w:rsidR="00B2512C" w:rsidRPr="00B2512C">
            <w:rPr>
              <w:noProof/>
              <w:vertAlign w:val="subscript"/>
            </w:rPr>
            <w:t>[102]</w:t>
          </w:r>
          <w:r w:rsidR="00B2512C" w:rsidRPr="00B2512C">
            <w:rPr>
              <w:noProof/>
            </w:rPr>
            <w:t>)</w:t>
          </w:r>
          <w:bookmarkEnd w:id="169"/>
          <w:r w:rsidR="00B2512C">
            <w:rPr>
              <w:i/>
            </w:rPr>
            <w:fldChar w:fldCharType="end"/>
          </w:r>
        </w:sdtContent>
      </w:sdt>
      <w:r w:rsidRPr="000970B7">
        <w:t xml:space="preserve"> </w:t>
      </w:r>
      <w:r>
        <w:t>refers to</w:t>
      </w:r>
      <w:r w:rsidRPr="000970B7">
        <w:t xml:space="preserve"> providing "cultural and linguistic support services for K-12 Indigenous students going to school away from home communities". This include</w:t>
      </w:r>
      <w:r>
        <w:t>s</w:t>
      </w:r>
      <w:r w:rsidRPr="000970B7">
        <w:t xml:space="preserve"> safeguarding first language skills and providing students </w:t>
      </w:r>
      <w:r>
        <w:t xml:space="preserve">with </w:t>
      </w:r>
      <w:r w:rsidRPr="000970B7">
        <w:t xml:space="preserve">adequate skills </w:t>
      </w:r>
      <w:r>
        <w:t>in English as a second language</w:t>
      </w:r>
      <w:r w:rsidRPr="000970B7">
        <w:t xml:space="preserve"> to help them succeed in school.</w:t>
      </w:r>
    </w:p>
    <w:p w14:paraId="1C793207" w14:textId="77777777" w:rsidR="006145A3" w:rsidRPr="00C40E4C" w:rsidRDefault="006145A3" w:rsidP="006145A3">
      <w:pPr>
        <w:pStyle w:val="Heading4"/>
        <w:numPr>
          <w:ilvl w:val="3"/>
          <w:numId w:val="22"/>
        </w:numPr>
        <w:rPr>
          <w:lang w:val="en-US"/>
        </w:rPr>
      </w:pPr>
      <w:r w:rsidRPr="00DE6C5F">
        <w:t>Ontario</w:t>
      </w:r>
    </w:p>
    <w:p w14:paraId="708101FE" w14:textId="59A27DF1" w:rsidR="006145A3" w:rsidRPr="0074584D" w:rsidRDefault="006145A3" w:rsidP="006145A3">
      <w:pPr>
        <w:pStyle w:val="Para0"/>
      </w:pPr>
      <w:r w:rsidRPr="0074584D">
        <w:t>The Ontario First Nation, Métis, and In</w:t>
      </w:r>
      <w:r w:rsidR="00802DDB">
        <w:t xml:space="preserve">uit Education Policy Framework </w:t>
      </w:r>
      <w:sdt>
        <w:sdtPr>
          <w:id w:val="1611237045"/>
          <w:citation/>
        </w:sdtPr>
        <w:sdtEndPr/>
        <w:sdtContent>
          <w:r w:rsidR="00B2512C">
            <w:fldChar w:fldCharType="begin"/>
          </w:r>
          <w:r w:rsidR="00B2512C">
            <w:instrText xml:space="preserve"> CITATION Min07 \l 2057 </w:instrText>
          </w:r>
          <w:r w:rsidR="00B2512C">
            <w:fldChar w:fldCharType="separate"/>
          </w:r>
          <w:r w:rsidR="00B2512C" w:rsidRPr="00B2512C">
            <w:rPr>
              <w:noProof/>
            </w:rPr>
            <w:t>(</w:t>
          </w:r>
          <w:bookmarkStart w:id="170" w:name="Min07_103"/>
          <w:r w:rsidR="00B2512C" w:rsidRPr="00B2512C">
            <w:rPr>
              <w:noProof/>
            </w:rPr>
            <w:t>Ministry of Education, 2007</w:t>
          </w:r>
          <w:r w:rsidR="00B2512C" w:rsidRPr="00B2512C">
            <w:rPr>
              <w:noProof/>
              <w:vertAlign w:val="subscript"/>
            </w:rPr>
            <w:t>[103]</w:t>
          </w:r>
          <w:r w:rsidR="00B2512C" w:rsidRPr="00B2512C">
            <w:rPr>
              <w:noProof/>
            </w:rPr>
            <w:t>)</w:t>
          </w:r>
          <w:bookmarkEnd w:id="170"/>
          <w:r w:rsidR="00B2512C">
            <w:fldChar w:fldCharType="end"/>
          </w:r>
        </w:sdtContent>
      </w:sdt>
      <w:r w:rsidRPr="0074584D">
        <w:t xml:space="preserve"> describes the history of Indigenous language education in Ontario, e.g.</w:t>
      </w:r>
      <w:r>
        <w:t> </w:t>
      </w:r>
      <w:r w:rsidRPr="0074584D">
        <w:t>that seven Indigenous lang</w:t>
      </w:r>
      <w:r>
        <w:t>uages are included in the Grade </w:t>
      </w:r>
      <w:r w:rsidRPr="0074584D">
        <w:t>1-12 curriculum (since 1987) and these have been supported with curriculum resource guides and with training for Indigenous language teachers.</w:t>
      </w:r>
    </w:p>
    <w:p w14:paraId="20366A1B" w14:textId="03073D7E" w:rsidR="006145A3" w:rsidRPr="0074584D" w:rsidRDefault="006145A3" w:rsidP="006145A3">
      <w:pPr>
        <w:pStyle w:val="Para0"/>
      </w:pPr>
      <w:r w:rsidRPr="0074584D">
        <w:t xml:space="preserve">A revised First Nation, Métis, and Inuit studies curriculum </w:t>
      </w:r>
      <w:r w:rsidR="00802DDB">
        <w:t xml:space="preserve">for secondary students </w:t>
      </w:r>
      <w:r w:rsidRPr="0074584D">
        <w:t>was launched in 2019.</w:t>
      </w:r>
    </w:p>
    <w:p w14:paraId="629158F6" w14:textId="77777777" w:rsidR="006145A3" w:rsidRPr="00C40E4C" w:rsidRDefault="006145A3" w:rsidP="006145A3">
      <w:pPr>
        <w:pStyle w:val="Heading4"/>
        <w:numPr>
          <w:ilvl w:val="3"/>
          <w:numId w:val="22"/>
        </w:numPr>
        <w:rPr>
          <w:lang w:val="en-US"/>
        </w:rPr>
      </w:pPr>
      <w:r w:rsidRPr="00DE6C5F">
        <w:t>Québec</w:t>
      </w:r>
    </w:p>
    <w:p w14:paraId="7D0EB652" w14:textId="72C61E34" w:rsidR="006145A3" w:rsidRPr="000970B7" w:rsidRDefault="006145A3" w:rsidP="006145A3">
      <w:pPr>
        <w:pStyle w:val="Para0"/>
      </w:pPr>
      <w:r w:rsidRPr="000970B7">
        <w:t xml:space="preserve">The approved versions of the </w:t>
      </w:r>
      <w:r w:rsidRPr="000970B7">
        <w:rPr>
          <w:i/>
        </w:rPr>
        <w:t xml:space="preserve">Québec Education Program </w:t>
      </w:r>
      <w:r w:rsidRPr="000970B7">
        <w:t xml:space="preserve">for elementary and secondary education </w:t>
      </w:r>
      <w:sdt>
        <w:sdtPr>
          <w:id w:val="-1915615736"/>
          <w:citation/>
        </w:sdtPr>
        <w:sdtEndPr/>
        <w:sdtContent>
          <w:r w:rsidR="00B2512C">
            <w:fldChar w:fldCharType="begin"/>
          </w:r>
          <w:r w:rsidR="00B2512C">
            <w:instrText xml:space="preserve"> CITATION Min01 \l 2057  \m Min04</w:instrText>
          </w:r>
          <w:r w:rsidR="00B2512C">
            <w:fldChar w:fldCharType="separate"/>
          </w:r>
          <w:bookmarkStart w:id="171" w:name="Min04_105"/>
          <w:r w:rsidR="00B2512C" w:rsidRPr="00B2512C">
            <w:rPr>
              <w:noProof/>
            </w:rPr>
            <w:t>(Ministry of Education, 2001</w:t>
          </w:r>
          <w:r w:rsidR="00B2512C" w:rsidRPr="00B2512C">
            <w:rPr>
              <w:noProof/>
              <w:vertAlign w:val="subscript"/>
            </w:rPr>
            <w:t>[104]</w:t>
          </w:r>
          <w:r w:rsidR="00B2512C" w:rsidRPr="00B2512C">
            <w:rPr>
              <w:noProof/>
            </w:rPr>
            <w:t>; Ministry of Education, 2004</w:t>
          </w:r>
          <w:r w:rsidR="00B2512C" w:rsidRPr="00B2512C">
            <w:rPr>
              <w:noProof/>
              <w:vertAlign w:val="subscript"/>
            </w:rPr>
            <w:t>[105]</w:t>
          </w:r>
          <w:r w:rsidR="00B2512C" w:rsidRPr="00B2512C">
            <w:rPr>
              <w:noProof/>
            </w:rPr>
            <w:t>)</w:t>
          </w:r>
          <w:bookmarkEnd w:id="171"/>
          <w:r w:rsidR="00B2512C">
            <w:fldChar w:fldCharType="end"/>
          </w:r>
        </w:sdtContent>
      </w:sdt>
      <w:r w:rsidRPr="000970B7">
        <w:t xml:space="preserve"> </w:t>
      </w:r>
      <w:r>
        <w:t>do not refer</w:t>
      </w:r>
      <w:r w:rsidRPr="000970B7">
        <w:t xml:space="preserve"> to Indigenous languages</w:t>
      </w:r>
      <w:r>
        <w:t xml:space="preserve"> or have significant</w:t>
      </w:r>
      <w:r w:rsidRPr="000970B7">
        <w:t xml:space="preserve"> reference to incorporating Indigenous knowledge or perspectives. </w:t>
      </w:r>
      <w:r>
        <w:t>I</w:t>
      </w:r>
      <w:r w:rsidRPr="000970B7">
        <w:t>n the northern Nunavik region</w:t>
      </w:r>
      <w:r>
        <w:t>, h</w:t>
      </w:r>
      <w:r w:rsidRPr="000970B7">
        <w:t>owever</w:t>
      </w:r>
      <w:r>
        <w:t>,</w:t>
      </w:r>
      <w:r w:rsidRPr="000970B7">
        <w:t xml:space="preserve"> </w:t>
      </w:r>
      <w:r w:rsidRPr="000970B7">
        <w:rPr>
          <w:i/>
          <w:iCs/>
        </w:rPr>
        <w:t>Kativik Ilisarniliriniq</w:t>
      </w:r>
      <w:r w:rsidRPr="000970B7">
        <w:t xml:space="preserve"> (Kativik School Board) </w:t>
      </w:r>
      <w:r>
        <w:t xml:space="preserve">has </w:t>
      </w:r>
      <w:r w:rsidRPr="000970B7">
        <w:t xml:space="preserve">implemented a transitional bilingual programme where Inuktitut is the medium of instruction in the early years, transitioning to French or English </w:t>
      </w:r>
      <w:sdt>
        <w:sdtPr>
          <w:id w:val="1957518159"/>
          <w:citation/>
        </w:sdtPr>
        <w:sdtEndPr/>
        <w:sdtContent>
          <w:r w:rsidR="001438EC">
            <w:fldChar w:fldCharType="begin"/>
          </w:r>
          <w:r w:rsidR="001438EC">
            <w:instrText xml:space="preserve"> CITATION Kat11 \l 2057  \m Tay08</w:instrText>
          </w:r>
          <w:r w:rsidR="001438EC">
            <w:fldChar w:fldCharType="separate"/>
          </w:r>
          <w:bookmarkStart w:id="172" w:name="Tay08_107"/>
          <w:r w:rsidR="001438EC" w:rsidRPr="001438EC">
            <w:rPr>
              <w:noProof/>
            </w:rPr>
            <w:t>(Kativik School Board, 2011</w:t>
          </w:r>
          <w:r w:rsidR="001438EC" w:rsidRPr="001438EC">
            <w:rPr>
              <w:noProof/>
              <w:vertAlign w:val="subscript"/>
            </w:rPr>
            <w:t>[106]</w:t>
          </w:r>
          <w:r w:rsidR="001438EC" w:rsidRPr="001438EC">
            <w:rPr>
              <w:noProof/>
            </w:rPr>
            <w:t>; Taylor, Caouette and Wright, 2008</w:t>
          </w:r>
          <w:r w:rsidR="001438EC" w:rsidRPr="001438EC">
            <w:rPr>
              <w:noProof/>
              <w:vertAlign w:val="subscript"/>
            </w:rPr>
            <w:t>[107]</w:t>
          </w:r>
          <w:r w:rsidR="001438EC" w:rsidRPr="001438EC">
            <w:rPr>
              <w:noProof/>
            </w:rPr>
            <w:t>)</w:t>
          </w:r>
          <w:bookmarkEnd w:id="172"/>
          <w:r w:rsidR="001438EC">
            <w:fldChar w:fldCharType="end"/>
          </w:r>
        </w:sdtContent>
      </w:sdt>
      <w:r w:rsidRPr="000970B7">
        <w:t>.</w:t>
      </w:r>
    </w:p>
    <w:p w14:paraId="387569A4" w14:textId="77777777" w:rsidR="006145A3" w:rsidRPr="00C40E4C" w:rsidRDefault="006145A3" w:rsidP="006145A3">
      <w:pPr>
        <w:pStyle w:val="Heading4"/>
        <w:numPr>
          <w:ilvl w:val="3"/>
          <w:numId w:val="22"/>
        </w:numPr>
        <w:rPr>
          <w:lang w:val="en-US"/>
        </w:rPr>
      </w:pPr>
      <w:r w:rsidRPr="00C40E4C">
        <w:rPr>
          <w:lang w:val="en-US"/>
        </w:rPr>
        <w:lastRenderedPageBreak/>
        <w:t>Prince Edward Island</w:t>
      </w:r>
    </w:p>
    <w:p w14:paraId="0B628A2E" w14:textId="3BA13354" w:rsidR="006145A3" w:rsidRPr="00932C9D" w:rsidRDefault="006145A3" w:rsidP="006145A3">
      <w:pPr>
        <w:pStyle w:val="Para0"/>
      </w:pPr>
      <w:r w:rsidRPr="000970B7">
        <w:t xml:space="preserve">Department of Education and Lifelong learning </w:t>
      </w:r>
      <w:r w:rsidR="00802DDB">
        <w:t xml:space="preserve">(Prince Edward Island) website </w:t>
      </w:r>
      <w:r>
        <w:t xml:space="preserve">curricula and other documents </w:t>
      </w:r>
      <w:r w:rsidRPr="000970B7">
        <w:t xml:space="preserve">do not </w:t>
      </w:r>
      <w:r w:rsidR="00802DDB">
        <w:t xml:space="preserve">appear to </w:t>
      </w:r>
      <w:r w:rsidRPr="000970B7">
        <w:t xml:space="preserve">mention Indigenous languages in schools. </w:t>
      </w:r>
    </w:p>
    <w:p w14:paraId="5E5BB2C4" w14:textId="77777777" w:rsidR="006145A3" w:rsidRDefault="006145A3" w:rsidP="001438EC">
      <w:pPr>
        <w:pStyle w:val="Heading1"/>
        <w:framePr w:w="11609" w:wrap="notBeside" w:x="1276"/>
        <w:numPr>
          <w:ilvl w:val="0"/>
          <w:numId w:val="22"/>
        </w:numPr>
        <w:ind w:left="1077" w:hanging="964"/>
      </w:pPr>
      <w:bookmarkStart w:id="173" w:name="_Toc95824107"/>
      <w:r w:rsidRPr="00DE6C5F">
        <w:lastRenderedPageBreak/>
        <w:t>How language skills develop – the science of language learning</w:t>
      </w:r>
      <w:bookmarkEnd w:id="173"/>
    </w:p>
    <w:p w14:paraId="7EE601E9" w14:textId="77777777" w:rsidR="006145A3" w:rsidRPr="009D6C9B" w:rsidRDefault="006145A3" w:rsidP="006145A3">
      <w:pPr>
        <w:pStyle w:val="Para0"/>
      </w:pPr>
      <w:r w:rsidRPr="00B931E6">
        <w:t xml:space="preserve">This </w:t>
      </w:r>
      <w:r>
        <w:t>section</w:t>
      </w:r>
      <w:r w:rsidRPr="00B931E6">
        <w:t xml:space="preserve"> </w:t>
      </w:r>
      <w:r>
        <w:t>provides a synthesis of the</w:t>
      </w:r>
      <w:r w:rsidRPr="00B931E6">
        <w:t xml:space="preserve"> </w:t>
      </w:r>
      <w:r w:rsidRPr="009D6C9B">
        <w:t>international research on languages learning. It specifically addresses the topics of:</w:t>
      </w:r>
    </w:p>
    <w:p w14:paraId="58E43962" w14:textId="77777777" w:rsidR="006145A3" w:rsidRPr="006D60DE" w:rsidRDefault="006145A3" w:rsidP="006145A3">
      <w:pPr>
        <w:pStyle w:val="BulletedList"/>
      </w:pPr>
      <w:r w:rsidRPr="006D60DE">
        <w:t>Mother tongue/first language;</w:t>
      </w:r>
    </w:p>
    <w:p w14:paraId="467A5A9D" w14:textId="77777777" w:rsidR="006145A3" w:rsidRPr="006D60DE" w:rsidRDefault="006145A3" w:rsidP="006145A3">
      <w:pPr>
        <w:pStyle w:val="BulletedList"/>
      </w:pPr>
      <w:r w:rsidRPr="006D60DE">
        <w:t>Second/additional language;</w:t>
      </w:r>
    </w:p>
    <w:p w14:paraId="5EF31618" w14:textId="77777777" w:rsidR="006145A3" w:rsidRPr="006D60DE" w:rsidRDefault="006145A3" w:rsidP="006145A3">
      <w:pPr>
        <w:pStyle w:val="BulletedList"/>
      </w:pPr>
      <w:r w:rsidRPr="006D60DE">
        <w:t>Multilingualism.</w:t>
      </w:r>
    </w:p>
    <w:p w14:paraId="2EA3877D" w14:textId="77777777" w:rsidR="006145A3" w:rsidRPr="009D6C9B" w:rsidRDefault="006145A3" w:rsidP="006145A3">
      <w:pPr>
        <w:pStyle w:val="Para0"/>
      </w:pPr>
      <w:r w:rsidRPr="009D6C9B">
        <w:t xml:space="preserve">The section </w:t>
      </w:r>
      <w:r>
        <w:t>considers</w:t>
      </w:r>
      <w:r w:rsidRPr="009D6C9B">
        <w:t xml:space="preserve"> Indigenous </w:t>
      </w:r>
      <w:r>
        <w:t xml:space="preserve">language learning in particular, </w:t>
      </w:r>
      <w:r w:rsidRPr="009D6C9B">
        <w:t xml:space="preserve">while drawing on research across the world in the areas of first language acquisition, second language acquisition, sociolinguistics, applied linguistics and educational linguistics. </w:t>
      </w:r>
    </w:p>
    <w:p w14:paraId="5291880C" w14:textId="56E53778" w:rsidR="006145A3" w:rsidRPr="009D6C9B" w:rsidRDefault="006145A3" w:rsidP="006145A3">
      <w:pPr>
        <w:pStyle w:val="Para0"/>
      </w:pPr>
      <w:r>
        <w:t xml:space="preserve">While </w:t>
      </w:r>
      <w:r w:rsidRPr="009D6C9B">
        <w:t>Indigenous peoples in Aotearoa New</w:t>
      </w:r>
      <w:r>
        <w:t> </w:t>
      </w:r>
      <w:r w:rsidRPr="009D6C9B">
        <w:t xml:space="preserve">Zealand, Australia and Canada have transmitted their expertises, knowledges, cultures and values over generations, and continue to do so in informal and formal local contexts </w:t>
      </w:r>
      <w:sdt>
        <w:sdtPr>
          <w:id w:val="-446232116"/>
          <w:citation/>
        </w:sdtPr>
        <w:sdtEndPr/>
        <w:sdtContent>
          <w:r w:rsidR="0072730D">
            <w:fldChar w:fldCharType="begin"/>
          </w:r>
          <w:r w:rsidR="00EE1E56">
            <w:instrText>CITATION Cop14 \m DeK17 \m Kor09 \l 2057  \m Mey17 \m Rog01</w:instrText>
          </w:r>
          <w:r w:rsidR="0072730D">
            <w:fldChar w:fldCharType="separate"/>
          </w:r>
          <w:bookmarkStart w:id="174" w:name="DeK17_109"/>
          <w:bookmarkStart w:id="175" w:name="Kor09_110"/>
          <w:bookmarkStart w:id="176" w:name="Mey17_111"/>
          <w:bookmarkStart w:id="177" w:name="Rog01_112"/>
          <w:r w:rsidR="00EE1E56" w:rsidRPr="00EE1E56">
            <w:rPr>
              <w:noProof/>
            </w:rPr>
            <w:t>(</w:t>
          </w:r>
          <w:bookmarkStart w:id="178" w:name="Cop14_108"/>
          <w:r w:rsidR="00EE1E56" w:rsidRPr="00EE1E56">
            <w:rPr>
              <w:noProof/>
            </w:rPr>
            <w:t>Coppens, 2014</w:t>
          </w:r>
          <w:r w:rsidR="00EE1E56" w:rsidRPr="00EE1E56">
            <w:rPr>
              <w:noProof/>
              <w:vertAlign w:val="subscript"/>
            </w:rPr>
            <w:t>[108]</w:t>
          </w:r>
          <w:r w:rsidR="00EE1E56" w:rsidRPr="00EE1E56">
            <w:rPr>
              <w:noProof/>
            </w:rPr>
            <w:t xml:space="preserve">; </w:t>
          </w:r>
          <w:bookmarkEnd w:id="178"/>
          <w:r w:rsidR="00EE1E56" w:rsidRPr="00EE1E56">
            <w:rPr>
              <w:noProof/>
            </w:rPr>
            <w:t>De Korne and Leonard, 2017</w:t>
          </w:r>
          <w:r w:rsidR="00EE1E56" w:rsidRPr="00EE1E56">
            <w:rPr>
              <w:noProof/>
              <w:vertAlign w:val="subscript"/>
            </w:rPr>
            <w:t>[109]</w:t>
          </w:r>
          <w:r w:rsidR="00EE1E56" w:rsidRPr="00EE1E56">
            <w:rPr>
              <w:noProof/>
            </w:rPr>
            <w:t>; Korskrity and Field, 2009</w:t>
          </w:r>
          <w:r w:rsidR="00EE1E56" w:rsidRPr="00EE1E56">
            <w:rPr>
              <w:noProof/>
              <w:vertAlign w:val="subscript"/>
            </w:rPr>
            <w:t>[110]</w:t>
          </w:r>
          <w:r w:rsidR="00EE1E56" w:rsidRPr="00EE1E56">
            <w:rPr>
              <w:noProof/>
            </w:rPr>
            <w:t>; Meyer, 2017</w:t>
          </w:r>
          <w:r w:rsidR="00EE1E56" w:rsidRPr="00EE1E56">
            <w:rPr>
              <w:noProof/>
              <w:vertAlign w:val="subscript"/>
            </w:rPr>
            <w:t>[111]</w:t>
          </w:r>
          <w:r w:rsidR="00EE1E56" w:rsidRPr="00EE1E56">
            <w:rPr>
              <w:noProof/>
            </w:rPr>
            <w:t>; Rogoff, Goodman Turkanis and Bartlett, 2001</w:t>
          </w:r>
          <w:r w:rsidR="00EE1E56" w:rsidRPr="00EE1E56">
            <w:rPr>
              <w:noProof/>
              <w:vertAlign w:val="subscript"/>
            </w:rPr>
            <w:t>[112]</w:t>
          </w:r>
          <w:r w:rsidR="00EE1E56" w:rsidRPr="00EE1E56">
            <w:rPr>
              <w:noProof/>
            </w:rPr>
            <w:t>)</w:t>
          </w:r>
          <w:bookmarkEnd w:id="174"/>
          <w:bookmarkEnd w:id="175"/>
          <w:bookmarkEnd w:id="176"/>
          <w:bookmarkEnd w:id="177"/>
          <w:r w:rsidR="0072730D">
            <w:fldChar w:fldCharType="end"/>
          </w:r>
        </w:sdtContent>
      </w:sdt>
      <w:r>
        <w:t>, research in Indigenous language learning is relatively sparse. To some extent this may be because</w:t>
      </w:r>
      <w:r w:rsidRPr="009D6C9B">
        <w:t xml:space="preserve"> Indigenous languages programmes are relative newcomers in comparison to most other school subjects. Th</w:t>
      </w:r>
      <w:r>
        <w:t>u</w:t>
      </w:r>
      <w:r w:rsidRPr="009D6C9B">
        <w:t>s</w:t>
      </w:r>
      <w:r>
        <w:t xml:space="preserve">, the ability to conduct research on </w:t>
      </w:r>
      <w:r w:rsidR="00802DDB">
        <w:t xml:space="preserve">learning most </w:t>
      </w:r>
      <w:r>
        <w:t>Indigenous language</w:t>
      </w:r>
      <w:r w:rsidR="00802DDB">
        <w:t>s</w:t>
      </w:r>
      <w:r>
        <w:t xml:space="preserve"> in formal education context</w:t>
      </w:r>
      <w:r w:rsidR="00802DDB">
        <w:t>s</w:t>
      </w:r>
      <w:r>
        <w:t xml:space="preserve"> has not been feasible.</w:t>
      </w:r>
    </w:p>
    <w:p w14:paraId="341D12B2" w14:textId="77777777" w:rsidR="006145A3" w:rsidRPr="009D6C9B" w:rsidRDefault="006145A3" w:rsidP="006145A3">
      <w:pPr>
        <w:pStyle w:val="Para0"/>
        <w:rPr>
          <w:lang w:val="en-US"/>
        </w:rPr>
      </w:pPr>
      <w:r w:rsidRPr="009D6C9B">
        <w:t>The traditional Indigenous languages of Canada, Australia and New</w:t>
      </w:r>
      <w:r>
        <w:t> </w:t>
      </w:r>
      <w:r w:rsidRPr="009D6C9B">
        <w:t xml:space="preserve">Zealand are very different in structure from English and French, while the new Indigenous languages often share vocabulary with the dominant language. It is generally easier to learn </w:t>
      </w:r>
      <w:r>
        <w:t>a second language</w:t>
      </w:r>
      <w:r w:rsidRPr="009D6C9B">
        <w:t xml:space="preserve"> that is typologically closer to the </w:t>
      </w:r>
      <w:r>
        <w:t>mother tongue/first language</w:t>
      </w:r>
      <w:r w:rsidRPr="009D6C9B">
        <w:t xml:space="preserve"> than one that is very different. </w:t>
      </w:r>
      <w:r>
        <w:t>T</w:t>
      </w:r>
      <w:r w:rsidRPr="009D6C9B">
        <w:t>his effect may not</w:t>
      </w:r>
      <w:r>
        <w:t>,</w:t>
      </w:r>
      <w:r w:rsidRPr="009D6C9B">
        <w:t xml:space="preserve"> </w:t>
      </w:r>
      <w:r>
        <w:t>h</w:t>
      </w:r>
      <w:r w:rsidRPr="009D6C9B">
        <w:t>owever</w:t>
      </w:r>
      <w:r>
        <w:t>,</w:t>
      </w:r>
      <w:r w:rsidRPr="009D6C9B">
        <w:t xml:space="preserve"> hold for children with a new Indigenous language </w:t>
      </w:r>
      <w:r>
        <w:t>where their</w:t>
      </w:r>
      <w:r w:rsidRPr="009D6C9B">
        <w:t xml:space="preserve"> teachers do not understand the characteristics of the children's first language and how it differs from the </w:t>
      </w:r>
      <w:r>
        <w:t>second</w:t>
      </w:r>
      <w:r w:rsidRPr="009D6C9B">
        <w:t xml:space="preserve"> language. </w:t>
      </w:r>
    </w:p>
    <w:p w14:paraId="5A630470" w14:textId="7ACD629D" w:rsidR="006145A3" w:rsidRPr="00CE7CB9" w:rsidRDefault="006145A3" w:rsidP="006145A3">
      <w:pPr>
        <w:pStyle w:val="Para0"/>
      </w:pPr>
      <w:r>
        <w:t>M</w:t>
      </w:r>
      <w:r w:rsidRPr="00CE7CB9">
        <w:t>other tongue/first language acquisition takes place from birth. Bilingual first language acquisition also occurs – where two (or more) languages are acquired from birth. Second/additional language acquisition refers to the process of a person beginning to learn a</w:t>
      </w:r>
      <w:r w:rsidR="00802DDB">
        <w:t>nother</w:t>
      </w:r>
      <w:r w:rsidRPr="00CE7CB9">
        <w:t xml:space="preserve"> language </w:t>
      </w:r>
      <w:r w:rsidR="00802DDB">
        <w:t xml:space="preserve">subsequently to their mother tongue/first language </w:t>
      </w:r>
      <w:r w:rsidRPr="00CE7CB9">
        <w:t>after the age of approximately two years</w:t>
      </w:r>
      <w:r>
        <w:t>.</w:t>
      </w:r>
    </w:p>
    <w:p w14:paraId="23AE2B5C" w14:textId="1422A496" w:rsidR="006145A3" w:rsidRPr="00CE7CB9" w:rsidRDefault="006145A3" w:rsidP="006145A3">
      <w:pPr>
        <w:pStyle w:val="Para0"/>
      </w:pPr>
      <w:r w:rsidRPr="00CE7CB9">
        <w:t xml:space="preserve">In first language acquisition, a child </w:t>
      </w:r>
      <w:r w:rsidR="00802DDB">
        <w:t xml:space="preserve">learns the concept of what a language is, </w:t>
      </w:r>
      <w:r w:rsidRPr="00CE7CB9">
        <w:t>interacts in the language frequently and regularly, and learns it with no explicit or structured instruction</w:t>
      </w:r>
      <w:r>
        <w:t xml:space="preserve">. </w:t>
      </w:r>
      <w:r w:rsidRPr="00CE7CB9">
        <w:t xml:space="preserve">In </w:t>
      </w:r>
      <w:r w:rsidRPr="009D6C9B">
        <w:t>second language acquisition,</w:t>
      </w:r>
      <w:r w:rsidRPr="00CE7CB9">
        <w:t xml:space="preserve"> the child </w:t>
      </w:r>
      <w:r w:rsidR="00802DDB">
        <w:t xml:space="preserve">already knows what a language is, </w:t>
      </w:r>
      <w:r w:rsidRPr="00CE7CB9">
        <w:t xml:space="preserve">may hear the target language much less regularly, perhaps only in </w:t>
      </w:r>
      <w:r w:rsidRPr="009D6C9B">
        <w:t>a few contexts</w:t>
      </w:r>
      <w:r w:rsidRPr="00CE7CB9">
        <w:t xml:space="preserve">, and learning may be via </w:t>
      </w:r>
      <w:r w:rsidRPr="009D6C9B">
        <w:t>explicit, structured instruction in language classes</w:t>
      </w:r>
      <w:r w:rsidRPr="00CE7CB9">
        <w:t xml:space="preserve">, or learning may be </w:t>
      </w:r>
      <w:r w:rsidRPr="009D6C9B">
        <w:t>untutored and informal</w:t>
      </w:r>
      <w:r w:rsidRPr="00CE7CB9">
        <w:t xml:space="preserve">, by </w:t>
      </w:r>
      <w:r w:rsidRPr="009D6C9B">
        <w:t>interacting with other speakers</w:t>
      </w:r>
      <w:r w:rsidRPr="00CE7CB9">
        <w:t xml:space="preserve">, </w:t>
      </w:r>
      <w:r w:rsidRPr="009D6C9B">
        <w:t>older siblings or peers</w:t>
      </w:r>
      <w:r w:rsidRPr="00CE7CB9">
        <w:t xml:space="preserve">. </w:t>
      </w:r>
    </w:p>
    <w:p w14:paraId="6BC226C3" w14:textId="77777777" w:rsidR="006145A3" w:rsidRPr="00F777FC" w:rsidRDefault="006145A3" w:rsidP="006145A3">
      <w:pPr>
        <w:pStyle w:val="Para0"/>
      </w:pPr>
      <w:r w:rsidRPr="00CE7CB9">
        <w:t xml:space="preserve">There are </w:t>
      </w:r>
      <w:r w:rsidRPr="00F777FC">
        <w:t>many different contexts for children's language learning. Children learn languages from their primary caregivers at home, and even relatives they spend only a little time with. They also learn languages from their peer group</w:t>
      </w:r>
      <w:r>
        <w:t>(s)</w:t>
      </w:r>
      <w:r w:rsidRPr="00F777FC">
        <w:t xml:space="preserve"> that they play with</w:t>
      </w:r>
      <w:r>
        <w:t>,</w:t>
      </w:r>
      <w:r w:rsidRPr="00F777FC">
        <w:t xml:space="preserve"> such as cousins or neighbours. This kind of social immersion context can also occur at school, as children may learn language(s) from their classmates during play times (recess), in contrast to the language of the classroom. </w:t>
      </w:r>
    </w:p>
    <w:p w14:paraId="1255E57A" w14:textId="2DCFE636" w:rsidR="006145A3" w:rsidRPr="00F777FC" w:rsidRDefault="006145A3" w:rsidP="006145A3">
      <w:pPr>
        <w:pStyle w:val="Para0"/>
      </w:pPr>
      <w:r w:rsidRPr="00F777FC">
        <w:lastRenderedPageBreak/>
        <w:t xml:space="preserve">Children also learn languages in the classroom. This is true of many Indigenous language speaking students in countries such as Canada and Australia, where children encounter English </w:t>
      </w:r>
      <w:r w:rsidR="00802DDB">
        <w:t xml:space="preserve">primarily </w:t>
      </w:r>
      <w:r w:rsidRPr="00F777FC">
        <w:t xml:space="preserve">at school: </w:t>
      </w:r>
    </w:p>
    <w:p w14:paraId="04513CAF" w14:textId="63224FD9" w:rsidR="006145A3" w:rsidRPr="006D60DE" w:rsidRDefault="006145A3" w:rsidP="006145A3">
      <w:pPr>
        <w:pStyle w:val="BulletedList"/>
      </w:pPr>
      <w:r w:rsidRPr="006D60DE">
        <w:t xml:space="preserve">When a language is only encountered in the classroom, it is called a foreign language learning context. </w:t>
      </w:r>
      <w:r w:rsidR="00802DDB">
        <w:t>English i</w:t>
      </w:r>
      <w:r w:rsidRPr="006D60DE">
        <w:t>n classroom</w:t>
      </w:r>
      <w:r w:rsidR="00802DDB">
        <w:t>s</w:t>
      </w:r>
      <w:r w:rsidRPr="006D60DE">
        <w:t xml:space="preserve"> in Inuktitut-speaking or Kriol-speaking communities</w:t>
      </w:r>
      <w:r w:rsidR="00802DDB">
        <w:t xml:space="preserve"> is in an </w:t>
      </w:r>
      <w:r>
        <w:t>an “</w:t>
      </w:r>
      <w:r w:rsidRPr="006D60DE">
        <w:t xml:space="preserve">English as </w:t>
      </w:r>
      <w:r w:rsidR="00802DDB">
        <w:t xml:space="preserve">a </w:t>
      </w:r>
      <w:r w:rsidRPr="006D60DE">
        <w:t>Foreign Language</w:t>
      </w:r>
      <w:r>
        <w:t>”</w:t>
      </w:r>
      <w:r w:rsidRPr="006D60DE">
        <w:t xml:space="preserve"> context</w:t>
      </w:r>
    </w:p>
    <w:p w14:paraId="3B91C45D" w14:textId="7D3685BC" w:rsidR="006145A3" w:rsidRPr="006D60DE" w:rsidRDefault="006145A3" w:rsidP="006145A3">
      <w:pPr>
        <w:pStyle w:val="BulletedList"/>
      </w:pPr>
      <w:r w:rsidRPr="006D60DE">
        <w:t>By definition, students in a foreign language learning context rely on the explicit instruction of the target language, as they have few other opportunities for learning it. Students might learn the curriculum in their mother tongue/first language whilst E</w:t>
      </w:r>
      <w:r>
        <w:t>nglish is taught as a separate “</w:t>
      </w:r>
      <w:r w:rsidRPr="006D60DE">
        <w:t>language subject</w:t>
      </w:r>
      <w:r>
        <w:t>”</w:t>
      </w:r>
      <w:r w:rsidR="00802DDB">
        <w:t>.</w:t>
      </w:r>
      <w:r w:rsidRPr="006D60DE">
        <w:t xml:space="preserve"> </w:t>
      </w:r>
      <w:r w:rsidR="00802DDB">
        <w:t>O</w:t>
      </w:r>
      <w:r w:rsidRPr="006D60DE">
        <w:t xml:space="preserve">r </w:t>
      </w:r>
      <w:r w:rsidR="00802DDB">
        <w:t xml:space="preserve">they </w:t>
      </w:r>
      <w:r w:rsidRPr="006D60DE">
        <w:t xml:space="preserve">might learn through the </w:t>
      </w:r>
      <w:r w:rsidR="00802DDB">
        <w:t>foreign/</w:t>
      </w:r>
      <w:r w:rsidRPr="006D60DE">
        <w:t xml:space="preserve">additional/second language medium across the curriculum </w:t>
      </w:r>
      <w:r w:rsidR="00802DDB">
        <w:t xml:space="preserve">via </w:t>
      </w:r>
      <w:r w:rsidRPr="006D60DE">
        <w:t xml:space="preserve">carefully </w:t>
      </w:r>
      <w:r w:rsidR="00802DDB">
        <w:t xml:space="preserve">staged </w:t>
      </w:r>
      <w:r w:rsidRPr="006D60DE">
        <w:t xml:space="preserve">Content and Language Integrated Learning (often referred to as CLIL). </w:t>
      </w:r>
      <w:r w:rsidR="00802DDB">
        <w:t xml:space="preserve">In the former, sutdents learn subject matter (content) through their first language, with an additional target language taught in separate lessons. In the latter, students learn subjects </w:t>
      </w:r>
      <w:r w:rsidRPr="006D60DE">
        <w:t>and a</w:t>
      </w:r>
      <w:r w:rsidR="00802DDB">
        <w:t>re taught the</w:t>
      </w:r>
      <w:r w:rsidRPr="006D60DE">
        <w:t xml:space="preserve"> target language at the same time</w:t>
      </w:r>
      <w:r w:rsidR="00802DDB">
        <w:t xml:space="preserve"> in the same lessons</w:t>
      </w:r>
    </w:p>
    <w:p w14:paraId="622705DD" w14:textId="57383ECD" w:rsidR="006145A3" w:rsidRPr="006D60DE" w:rsidRDefault="006145A3" w:rsidP="006145A3">
      <w:pPr>
        <w:pStyle w:val="BulletedList"/>
      </w:pPr>
      <w:r w:rsidRPr="006D60DE">
        <w:t xml:space="preserve">If English is used as a medium of instruction as if the child already speaks it, but </w:t>
      </w:r>
      <w:r w:rsidR="00802DDB">
        <w:t xml:space="preserve">the child </w:t>
      </w:r>
      <w:r w:rsidRPr="006D60DE">
        <w:t xml:space="preserve">is not taught English explicitly in this foreign language context classroom, it </w:t>
      </w:r>
      <w:r w:rsidR="00802DDB">
        <w:t xml:space="preserve">constitutes an unsupported </w:t>
      </w:r>
      <w:r w:rsidRPr="006D60DE">
        <w:t xml:space="preserve">immersion context, also called submersion and results are generally not optimal. </w:t>
      </w:r>
      <w:r w:rsidR="00802DDB">
        <w:t>I</w:t>
      </w:r>
      <w:r w:rsidRPr="006D60DE">
        <w:t>f English is not formally taught, the child will learn some English, but it may not support classroom learning very well.</w:t>
      </w:r>
    </w:p>
    <w:p w14:paraId="0E18E693" w14:textId="77777777" w:rsidR="006145A3" w:rsidRPr="00CE7CB9" w:rsidRDefault="006145A3" w:rsidP="006145A3">
      <w:pPr>
        <w:pStyle w:val="Para0"/>
      </w:pPr>
      <w:r w:rsidRPr="00F777FC">
        <w:t>Languages can also be learned informally, from family or extended family or in the community</w:t>
      </w:r>
      <w:r w:rsidRPr="00CE7CB9">
        <w:t>. Traditional languages have always been learned this way and continue to be, to the extent that speakership allows. Language learning might happen more in some kinds of situation than others, e.g.</w:t>
      </w:r>
      <w:r>
        <w:t> </w:t>
      </w:r>
      <w:r w:rsidRPr="00CE7CB9">
        <w:t xml:space="preserve">for Māori on the </w:t>
      </w:r>
      <w:r w:rsidRPr="00C34BDA">
        <w:rPr>
          <w:i/>
        </w:rPr>
        <w:t>marae</w:t>
      </w:r>
      <w:r w:rsidRPr="00CE7CB9">
        <w:t xml:space="preserve"> </w:t>
      </w:r>
      <w:r w:rsidRPr="000B49B0">
        <w:t>(t</w:t>
      </w:r>
      <w:r>
        <w:rPr>
          <w:lang w:val="mi-NZ"/>
        </w:rPr>
        <w:t>riba</w:t>
      </w:r>
      <w:r w:rsidRPr="000B49B0">
        <w:rPr>
          <w:lang w:val="mi-NZ"/>
        </w:rPr>
        <w:t xml:space="preserve">l meeting grounds) </w:t>
      </w:r>
      <w:r w:rsidRPr="000B49B0">
        <w:t>or for Inuktitut</w:t>
      </w:r>
      <w:r w:rsidRPr="00CE7CB9">
        <w:t xml:space="preserve"> on hunting trips, and because of this, these in-community or on-country experiences might be included in Indigenous school language programmes.</w:t>
      </w:r>
    </w:p>
    <w:p w14:paraId="6C524F78" w14:textId="77777777" w:rsidR="006145A3" w:rsidRDefault="006145A3" w:rsidP="006145A3">
      <w:pPr>
        <w:pStyle w:val="Heading2"/>
        <w:numPr>
          <w:ilvl w:val="1"/>
          <w:numId w:val="22"/>
        </w:numPr>
      </w:pPr>
      <w:bookmarkStart w:id="179" w:name="_Ref40468978"/>
      <w:bookmarkStart w:id="180" w:name="_Toc82093569"/>
      <w:bookmarkStart w:id="181" w:name="_Toc95824108"/>
      <w:r w:rsidRPr="00B931E6">
        <w:t>Learning mother tongue/</w:t>
      </w:r>
      <w:r w:rsidRPr="006D60DE">
        <w:t>first</w:t>
      </w:r>
      <w:r w:rsidRPr="00B931E6">
        <w:t xml:space="preserve"> languages from birth</w:t>
      </w:r>
      <w:bookmarkEnd w:id="179"/>
      <w:bookmarkEnd w:id="180"/>
      <w:bookmarkEnd w:id="181"/>
      <w:r w:rsidRPr="00B931E6">
        <w:t xml:space="preserve"> </w:t>
      </w:r>
    </w:p>
    <w:tbl>
      <w:tblPr>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6145A3" w:rsidRPr="00E2226B" w14:paraId="7C6CC193" w14:textId="77777777" w:rsidTr="003E4CEC">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2CBFA608" w14:textId="2EBF3311" w:rsidR="006145A3" w:rsidRDefault="006145A3" w:rsidP="003E4CEC">
            <w:pPr>
              <w:pStyle w:val="Caption"/>
            </w:pPr>
            <w:r w:rsidRPr="00B44A50">
              <w:t>Box</w:t>
            </w:r>
            <w:r>
              <w:t> </w:t>
            </w:r>
            <w:r>
              <w:rPr>
                <w:noProof/>
              </w:rPr>
              <w:fldChar w:fldCharType="begin"/>
            </w:r>
            <w:r>
              <w:rPr>
                <w:noProof/>
              </w:rPr>
              <w:instrText xml:space="preserve"> STYLEREF 1 \s </w:instrText>
            </w:r>
            <w:r>
              <w:rPr>
                <w:noProof/>
              </w:rPr>
              <w:fldChar w:fldCharType="separate"/>
            </w:r>
            <w:r w:rsidR="00CA5B8D">
              <w:rPr>
                <w:noProof/>
              </w:rPr>
              <w:t>5</w:t>
            </w:r>
            <w:r>
              <w:rPr>
                <w:noProof/>
              </w:rPr>
              <w:fldChar w:fldCharType="end"/>
            </w:r>
            <w:r>
              <w:t>.</w:t>
            </w:r>
            <w:r>
              <w:rPr>
                <w:noProof/>
              </w:rPr>
              <w:fldChar w:fldCharType="begin"/>
            </w:r>
            <w:r>
              <w:rPr>
                <w:noProof/>
              </w:rPr>
              <w:instrText xml:space="preserve"> SEQ Box \* ARABIC \s 1 </w:instrText>
            </w:r>
            <w:r>
              <w:rPr>
                <w:noProof/>
              </w:rPr>
              <w:fldChar w:fldCharType="separate"/>
            </w:r>
            <w:r w:rsidR="00CA5B8D">
              <w:rPr>
                <w:noProof/>
              </w:rPr>
              <w:t>1</w:t>
            </w:r>
            <w:r>
              <w:rPr>
                <w:noProof/>
              </w:rPr>
              <w:fldChar w:fldCharType="end"/>
            </w:r>
            <w:r>
              <w:t xml:space="preserve">. </w:t>
            </w:r>
            <w:r w:rsidRPr="004F6F4D">
              <w:t>Mother tongues/first languages</w:t>
            </w:r>
          </w:p>
          <w:p w14:paraId="4F514910" w14:textId="25DA2FAE" w:rsidR="006145A3" w:rsidRPr="00775FF9" w:rsidRDefault="006145A3" w:rsidP="003E4CEC">
            <w:pPr>
              <w:pStyle w:val="Para0"/>
            </w:pPr>
            <w:r>
              <w:t xml:space="preserve">The terms “mother” and “first” may also have various other meanings when used in connection with Indigenous languages. To express the vital and intimate connections between Indigenous peoples and their languages, the words “mother” (e.g. language bestowing spiritual belonging and cultural identity) or “first” (e.g. original Indigenous language) may be employed. These are different meanings than </w:t>
            </w:r>
            <w:r w:rsidR="00802DDB">
              <w:t xml:space="preserve">those </w:t>
            </w:r>
            <w:r>
              <w:t>used in languages education, such as “mother tongue/first language education” and “mother tongue/first language based literacy”.</w:t>
            </w:r>
          </w:p>
        </w:tc>
      </w:tr>
    </w:tbl>
    <w:p w14:paraId="734B31A4" w14:textId="77777777" w:rsidR="006145A3" w:rsidRPr="00852D94" w:rsidRDefault="006145A3" w:rsidP="006145A3">
      <w:pPr>
        <w:pStyle w:val="Heading3"/>
        <w:numPr>
          <w:ilvl w:val="2"/>
          <w:numId w:val="22"/>
        </w:numPr>
      </w:pPr>
      <w:r>
        <w:t>M</w:t>
      </w:r>
      <w:r w:rsidRPr="00852D94">
        <w:t>other tongue medium education</w:t>
      </w:r>
      <w:r>
        <w:t xml:space="preserve"> best supports children’s learning, especially in the early years</w:t>
      </w:r>
    </w:p>
    <w:p w14:paraId="26BC498E" w14:textId="04243FFB" w:rsidR="006145A3" w:rsidRPr="00F777FC" w:rsidRDefault="006145A3" w:rsidP="006145A3">
      <w:pPr>
        <w:pStyle w:val="Para0"/>
      </w:pPr>
      <w:r w:rsidRPr="00B931E6">
        <w:t xml:space="preserve">Internationally, the past decade has seen </w:t>
      </w:r>
      <w:r w:rsidRPr="00F777FC">
        <w:t>renewed attention to the benefits of a mother tongue medium of instruction, particularly for its role in promoting equitable educational outcomes. UNESCO</w:t>
      </w:r>
      <w:r>
        <w:t>, for example,</w:t>
      </w:r>
      <w:r w:rsidRPr="00F777FC">
        <w:t xml:space="preserve"> has produc</w:t>
      </w:r>
      <w:r>
        <w:t>ed</w:t>
      </w:r>
      <w:r w:rsidRPr="00F777FC">
        <w:t xml:space="preserve"> a significant body of work on mother tongue-based multilingual education. The mother tongue/first language approach delivers literacy and a range of academic subjects in the student’s first language</w:t>
      </w:r>
      <w:r w:rsidR="00802DDB">
        <w:t xml:space="preserve"> initially</w:t>
      </w:r>
      <w:r w:rsidRPr="00F777FC">
        <w:t xml:space="preserve">, while a second language, a national or official language, is </w:t>
      </w:r>
      <w:r w:rsidR="00802DDB">
        <w:t xml:space="preserve">then taught </w:t>
      </w:r>
      <w:r w:rsidRPr="00F777FC">
        <w:t>for its wider communicative reach, including ongoing education and broad-based economic participation.</w:t>
      </w:r>
    </w:p>
    <w:p w14:paraId="205E927F" w14:textId="2F1D7453" w:rsidR="006145A3" w:rsidRPr="00055876" w:rsidRDefault="006145A3" w:rsidP="006145A3">
      <w:pPr>
        <w:pStyle w:val="Para0"/>
      </w:pPr>
      <w:r w:rsidRPr="00055876">
        <w:t>Effective education programmes based on students' mother tongue/first language fr</w:t>
      </w:r>
      <w:r>
        <w:t>om a variety of countries (e.g. </w:t>
      </w:r>
      <w:r w:rsidRPr="00055876">
        <w:t xml:space="preserve">USA, </w:t>
      </w:r>
      <w:r>
        <w:t>Peru, Papua </w:t>
      </w:r>
      <w:r w:rsidRPr="00055876">
        <w:t>New</w:t>
      </w:r>
      <w:r>
        <w:t> </w:t>
      </w:r>
      <w:r w:rsidRPr="00055876">
        <w:t xml:space="preserve">Guinea and Mali) were reported by UNESCO over a decade ago </w:t>
      </w:r>
      <w:sdt>
        <w:sdtPr>
          <w:id w:val="1282380543"/>
          <w:citation/>
        </w:sdtPr>
        <w:sdtEndPr/>
        <w:sdtContent>
          <w:r w:rsidR="00BA4C36">
            <w:fldChar w:fldCharType="begin"/>
          </w:r>
          <w:r w:rsidR="00BA4C36">
            <w:instrText xml:space="preserve">CITATION Büh08 \l 2057 </w:instrText>
          </w:r>
          <w:r w:rsidR="00BA4C36">
            <w:fldChar w:fldCharType="separate"/>
          </w:r>
          <w:r w:rsidR="00BA4C36" w:rsidRPr="00BA4C36">
            <w:rPr>
              <w:noProof/>
            </w:rPr>
            <w:t>(</w:t>
          </w:r>
          <w:bookmarkStart w:id="182" w:name="Büh08_113"/>
          <w:r w:rsidR="00BA4C36" w:rsidRPr="00BA4C36">
            <w:rPr>
              <w:noProof/>
            </w:rPr>
            <w:t>Bühmann and Trudell, 2008</w:t>
          </w:r>
          <w:r w:rsidR="00BA4C36" w:rsidRPr="00BA4C36">
            <w:rPr>
              <w:noProof/>
              <w:vertAlign w:val="subscript"/>
            </w:rPr>
            <w:t>[113]</w:t>
          </w:r>
          <w:r w:rsidR="00BA4C36" w:rsidRPr="00BA4C36">
            <w:rPr>
              <w:noProof/>
            </w:rPr>
            <w:t>)</w:t>
          </w:r>
          <w:bookmarkEnd w:id="182"/>
          <w:r w:rsidR="00BA4C36">
            <w:fldChar w:fldCharType="end"/>
          </w:r>
        </w:sdtContent>
      </w:sdt>
      <w:r w:rsidRPr="00055876">
        <w:t>. Studies showed unequivocal benefits of mother tongue-based education for students who otherwise would receive classroom instruction only through a second/additional language they did not yet know proficiently</w:t>
      </w:r>
      <w:r w:rsidR="00802DDB">
        <w:t xml:space="preserve"> and perhaps without formal instruction in that language (submersion)</w:t>
      </w:r>
      <w:r w:rsidRPr="00055876">
        <w:t xml:space="preserve">. These mother tongue-based programmes were all essentially bilingual in nature, adding </w:t>
      </w:r>
      <w:r w:rsidR="00802DDB">
        <w:t xml:space="preserve">teaching of a </w:t>
      </w:r>
      <w:r w:rsidRPr="00055876">
        <w:t xml:space="preserve">dominant </w:t>
      </w:r>
      <w:r w:rsidR="00802DDB">
        <w:t xml:space="preserve">national </w:t>
      </w:r>
      <w:r w:rsidRPr="00055876">
        <w:t xml:space="preserve">language at some point. </w:t>
      </w:r>
    </w:p>
    <w:p w14:paraId="6726D7AB" w14:textId="77777777" w:rsidR="006145A3" w:rsidRPr="00055876" w:rsidRDefault="006145A3" w:rsidP="006145A3">
      <w:pPr>
        <w:pStyle w:val="Para0"/>
      </w:pPr>
      <w:r w:rsidRPr="00055876">
        <w:t>Students in these mother tongue/first language-based education settings exhibit many positive educational advantages compared to student cohorts in monolingual second language-based programmes, such as:</w:t>
      </w:r>
    </w:p>
    <w:p w14:paraId="582CAA8A" w14:textId="77777777" w:rsidR="006145A3" w:rsidRPr="006D60DE" w:rsidRDefault="006145A3" w:rsidP="006145A3">
      <w:pPr>
        <w:pStyle w:val="BulletedList"/>
      </w:pPr>
      <w:r w:rsidRPr="006D60DE">
        <w:t>Their overall academic achievement is superior to that of students in the monolingual second-language system, including in subjects such as mathematics</w:t>
      </w:r>
    </w:p>
    <w:p w14:paraId="44974DCB" w14:textId="6F5F7DF8" w:rsidR="006145A3" w:rsidRPr="006D60DE" w:rsidRDefault="006145A3" w:rsidP="006145A3">
      <w:pPr>
        <w:pStyle w:val="BulletedList"/>
      </w:pPr>
      <w:r w:rsidRPr="006D60DE">
        <w:t xml:space="preserve">Their achievement in the second language is at least as high as that of students in the monolingual second-language system and, in some cases, higher </w:t>
      </w:r>
      <w:sdt>
        <w:sdtPr>
          <w:id w:val="1560276133"/>
          <w:citation/>
        </w:sdtPr>
        <w:sdtEndPr/>
        <w:sdtContent>
          <w:r w:rsidR="003B2B90">
            <w:fldChar w:fldCharType="begin"/>
          </w:r>
          <w:r w:rsidR="003B2B90">
            <w:instrText xml:space="preserve">CITATION Ben05 \m UNE07 \m MAc17 \l 2057 </w:instrText>
          </w:r>
          <w:r w:rsidR="003B2B90">
            <w:fldChar w:fldCharType="separate"/>
          </w:r>
          <w:bookmarkStart w:id="183" w:name="UNE07_115"/>
          <w:bookmarkStart w:id="184" w:name="MAc17_116"/>
          <w:r w:rsidR="003B2B90" w:rsidRPr="003B2B90">
            <w:rPr>
              <w:noProof/>
            </w:rPr>
            <w:t>(</w:t>
          </w:r>
          <w:bookmarkStart w:id="185" w:name="Ben05_114"/>
          <w:r w:rsidR="003B2B90" w:rsidRPr="003B2B90">
            <w:rPr>
              <w:noProof/>
            </w:rPr>
            <w:t>Bender, P. et al, 2005</w:t>
          </w:r>
          <w:r w:rsidR="003B2B90" w:rsidRPr="003B2B90">
            <w:rPr>
              <w:noProof/>
              <w:vertAlign w:val="subscript"/>
            </w:rPr>
            <w:t>[114]</w:t>
          </w:r>
          <w:r w:rsidR="003B2B90" w:rsidRPr="003B2B90">
            <w:rPr>
              <w:noProof/>
            </w:rPr>
            <w:t xml:space="preserve">; </w:t>
          </w:r>
          <w:bookmarkEnd w:id="185"/>
          <w:r w:rsidR="003B2B90" w:rsidRPr="003B2B90">
            <w:rPr>
              <w:noProof/>
            </w:rPr>
            <w:t>UNESCO Office Bangkok and Regional Bureau for Education in Asia and the Pacific, 2007</w:t>
          </w:r>
          <w:r w:rsidR="003B2B90" w:rsidRPr="003B2B90">
            <w:rPr>
              <w:noProof/>
              <w:vertAlign w:val="subscript"/>
            </w:rPr>
            <w:t>[115]</w:t>
          </w:r>
          <w:r w:rsidR="003B2B90" w:rsidRPr="003B2B90">
            <w:rPr>
              <w:noProof/>
            </w:rPr>
            <w:t>; Macswan et al., 2017</w:t>
          </w:r>
          <w:r w:rsidR="003B2B90" w:rsidRPr="003B2B90">
            <w:rPr>
              <w:noProof/>
              <w:vertAlign w:val="subscript"/>
            </w:rPr>
            <w:t>[116]</w:t>
          </w:r>
          <w:r w:rsidR="003B2B90" w:rsidRPr="003B2B90">
            <w:rPr>
              <w:noProof/>
            </w:rPr>
            <w:t>)</w:t>
          </w:r>
          <w:bookmarkEnd w:id="183"/>
          <w:bookmarkEnd w:id="184"/>
          <w:r w:rsidR="003B2B90">
            <w:fldChar w:fldCharType="end"/>
          </w:r>
        </w:sdtContent>
      </w:sdt>
    </w:p>
    <w:p w14:paraId="7B904088" w14:textId="77777777" w:rsidR="006145A3" w:rsidRPr="006D60DE" w:rsidRDefault="006145A3" w:rsidP="006145A3">
      <w:pPr>
        <w:pStyle w:val="BulletedList"/>
      </w:pPr>
      <w:r w:rsidRPr="006D60DE">
        <w:t>They acquire additional linguistic competencies in their first language</w:t>
      </w:r>
    </w:p>
    <w:p w14:paraId="68088ECD" w14:textId="77777777" w:rsidR="006145A3" w:rsidRPr="006D60DE" w:rsidRDefault="006145A3" w:rsidP="006145A3">
      <w:pPr>
        <w:pStyle w:val="BulletedList"/>
      </w:pPr>
      <w:r w:rsidRPr="006D60DE">
        <w:t>They participate more actively in the learning process and feel more confident about learning.</w:t>
      </w:r>
    </w:p>
    <w:p w14:paraId="2B5B2FCE" w14:textId="10DFEC19" w:rsidR="006145A3" w:rsidRPr="00377CFC" w:rsidRDefault="006145A3" w:rsidP="006145A3">
      <w:pPr>
        <w:pStyle w:val="Para0"/>
      </w:pPr>
      <w:r>
        <w:t>A study of a s</w:t>
      </w:r>
      <w:r w:rsidRPr="00377CFC">
        <w:t xml:space="preserve">tudents' early skills in Inuktitut found </w:t>
      </w:r>
      <w:r>
        <w:t xml:space="preserve">these </w:t>
      </w:r>
      <w:r w:rsidRPr="00377CFC">
        <w:t>to be indicative of later proficiency in that language as well as to be predictive of success in subsequent second language learning in English or French. Researchers found that Inu</w:t>
      </w:r>
      <w:r>
        <w:t>ktitut language skills in grade </w:t>
      </w:r>
      <w:r w:rsidRPr="00377CFC">
        <w:t>3 were strongly predictive of second language skills in English and French across subsequent grades. The fi</w:t>
      </w:r>
      <w:r>
        <w:t>ndings were collected over a 12-</w:t>
      </w:r>
      <w:r w:rsidRPr="00377CFC">
        <w:t>year period and had remained stable. In the community where the research took place Inuktitut instruction only occurred to grade</w:t>
      </w:r>
      <w:r>
        <w:t> </w:t>
      </w:r>
      <w:r w:rsidRPr="00377CFC">
        <w:t xml:space="preserve">3 level, because of insufficient numbers of trained Inuktitut teachers and lack of curriculum development for subsequent years. </w:t>
      </w:r>
      <w:r>
        <w:t>The researchers point out that “strong”</w:t>
      </w:r>
      <w:r w:rsidRPr="00377CFC">
        <w:t xml:space="preserve"> versions of mother tongue instruction programmes continue beyond the early years, and potentially might have greater protective effects on language maintenance </w:t>
      </w:r>
      <w:sdt>
        <w:sdtPr>
          <w:id w:val="1254476700"/>
          <w:citation/>
        </w:sdtPr>
        <w:sdtEndPr/>
        <w:sdtContent>
          <w:r w:rsidR="003B2B90">
            <w:fldChar w:fldCharType="begin"/>
          </w:r>
          <w:r w:rsidR="003B2B90">
            <w:instrText xml:space="preserve">CITATION Usb \l 2057 </w:instrText>
          </w:r>
          <w:r w:rsidR="003B2B90">
            <w:fldChar w:fldCharType="separate"/>
          </w:r>
          <w:r w:rsidR="003B2B90" w:rsidRPr="003B2B90">
            <w:rPr>
              <w:noProof/>
            </w:rPr>
            <w:t>(</w:t>
          </w:r>
          <w:bookmarkStart w:id="186" w:name="Usb_117"/>
          <w:r w:rsidR="003B2B90" w:rsidRPr="003B2B90">
            <w:rPr>
              <w:noProof/>
            </w:rPr>
            <w:t>Usborne et al., 2009</w:t>
          </w:r>
          <w:r w:rsidR="003B2B90" w:rsidRPr="003B2B90">
            <w:rPr>
              <w:noProof/>
              <w:vertAlign w:val="subscript"/>
            </w:rPr>
            <w:t>[117]</w:t>
          </w:r>
          <w:r w:rsidR="003B2B90" w:rsidRPr="003B2B90">
            <w:rPr>
              <w:noProof/>
            </w:rPr>
            <w:t>)</w:t>
          </w:r>
          <w:bookmarkEnd w:id="186"/>
          <w:r w:rsidR="003B2B90">
            <w:fldChar w:fldCharType="end"/>
          </w:r>
        </w:sdtContent>
      </w:sdt>
      <w:r w:rsidRPr="00377CFC">
        <w:t>.</w:t>
      </w:r>
    </w:p>
    <w:p w14:paraId="6445C9CD" w14:textId="58E9DAD6" w:rsidR="006145A3" w:rsidRPr="00232A5C" w:rsidRDefault="006145A3" w:rsidP="006145A3">
      <w:pPr>
        <w:pStyle w:val="Para0"/>
      </w:pPr>
      <w:r w:rsidRPr="00232A5C">
        <w:t xml:space="preserve">Research by Save the Children </w:t>
      </w:r>
      <w:r>
        <w:t>found that mother-</w:t>
      </w:r>
      <w:r w:rsidRPr="00232A5C">
        <w:t xml:space="preserve">tongue-based classrooms increased student participation, decreased student attrition and encouraged family and community engagement with education </w:t>
      </w:r>
      <w:sdt>
        <w:sdtPr>
          <w:id w:val="-1774474089"/>
          <w:citation/>
        </w:sdtPr>
        <w:sdtEndPr/>
        <w:sdtContent>
          <w:r w:rsidR="000C3117">
            <w:fldChar w:fldCharType="begin"/>
          </w:r>
          <w:r w:rsidR="000C3117">
            <w:instrText>CITATION Pin09 \m Pin111 \l 2057  \m Pin11</w:instrText>
          </w:r>
          <w:r w:rsidR="000C3117">
            <w:fldChar w:fldCharType="separate"/>
          </w:r>
          <w:bookmarkStart w:id="187" w:name="Pin11_119"/>
          <w:bookmarkStart w:id="188" w:name="Pin111_119"/>
          <w:bookmarkStart w:id="189" w:name="Pin11_120"/>
          <w:r w:rsidR="000C3117" w:rsidRPr="000C3117">
            <w:rPr>
              <w:noProof/>
            </w:rPr>
            <w:t>(</w:t>
          </w:r>
          <w:bookmarkStart w:id="190" w:name="Pin09_118"/>
          <w:r w:rsidR="000C3117" w:rsidRPr="000C3117">
            <w:rPr>
              <w:noProof/>
            </w:rPr>
            <w:t>Pinnock, 2009</w:t>
          </w:r>
          <w:r w:rsidR="000C3117" w:rsidRPr="000C3117">
            <w:rPr>
              <w:noProof/>
              <w:vertAlign w:val="subscript"/>
            </w:rPr>
            <w:t>[118]</w:t>
          </w:r>
          <w:r w:rsidR="000C3117" w:rsidRPr="000C3117">
            <w:rPr>
              <w:noProof/>
            </w:rPr>
            <w:t xml:space="preserve">; </w:t>
          </w:r>
          <w:bookmarkEnd w:id="190"/>
          <w:r w:rsidR="000C3117" w:rsidRPr="000C3117">
            <w:rPr>
              <w:noProof/>
            </w:rPr>
            <w:t>Pinnock, 2009</w:t>
          </w:r>
          <w:r w:rsidR="000C3117" w:rsidRPr="000C3117">
            <w:rPr>
              <w:noProof/>
              <w:vertAlign w:val="subscript"/>
            </w:rPr>
            <w:t>[119]</w:t>
          </w:r>
          <w:r w:rsidR="000C3117" w:rsidRPr="000C3117">
            <w:rPr>
              <w:noProof/>
            </w:rPr>
            <w:t>; Pinnock, 2011</w:t>
          </w:r>
          <w:r w:rsidR="000C3117" w:rsidRPr="000C3117">
            <w:rPr>
              <w:noProof/>
              <w:vertAlign w:val="subscript"/>
            </w:rPr>
            <w:t>[120]</w:t>
          </w:r>
          <w:r w:rsidR="000C3117" w:rsidRPr="000C3117">
            <w:rPr>
              <w:noProof/>
            </w:rPr>
            <w:t>)</w:t>
          </w:r>
          <w:bookmarkEnd w:id="187"/>
          <w:bookmarkEnd w:id="188"/>
          <w:bookmarkEnd w:id="189"/>
          <w:r w:rsidR="000C3117">
            <w:fldChar w:fldCharType="end"/>
          </w:r>
        </w:sdtContent>
      </w:sdt>
      <w:r w:rsidRPr="00232A5C">
        <w:t xml:space="preserve">. Benson notes that in addition to manifold academic benefits, using mother tongue/first language in education settings is increasingly understood to have a positive impact for groups that have been socially marginalised </w:t>
      </w:r>
      <w:sdt>
        <w:sdtPr>
          <w:id w:val="-539589511"/>
          <w:citation/>
        </w:sdtPr>
        <w:sdtEndPr/>
        <w:sdtContent>
          <w:r w:rsidR="005300E6">
            <w:fldChar w:fldCharType="begin"/>
          </w:r>
          <w:r w:rsidR="005300E6">
            <w:instrText xml:space="preserve"> CITATION Ben16 \l 2057 </w:instrText>
          </w:r>
          <w:r w:rsidR="005300E6">
            <w:fldChar w:fldCharType="separate"/>
          </w:r>
          <w:r w:rsidR="005300E6" w:rsidRPr="005300E6">
            <w:rPr>
              <w:noProof/>
            </w:rPr>
            <w:t>(</w:t>
          </w:r>
          <w:bookmarkStart w:id="191" w:name="Ben16_121"/>
          <w:r w:rsidR="005300E6" w:rsidRPr="005300E6">
            <w:rPr>
              <w:noProof/>
            </w:rPr>
            <w:t>Benson, 2016</w:t>
          </w:r>
          <w:r w:rsidR="005300E6" w:rsidRPr="005300E6">
            <w:rPr>
              <w:noProof/>
              <w:vertAlign w:val="subscript"/>
            </w:rPr>
            <w:t>[121]</w:t>
          </w:r>
          <w:r w:rsidR="005300E6" w:rsidRPr="005300E6">
            <w:rPr>
              <w:noProof/>
            </w:rPr>
            <w:t>)</w:t>
          </w:r>
          <w:bookmarkEnd w:id="191"/>
          <w:r w:rsidR="005300E6">
            <w:fldChar w:fldCharType="end"/>
          </w:r>
        </w:sdtContent>
      </w:sdt>
      <w:r w:rsidRPr="00232A5C">
        <w:t>.</w:t>
      </w:r>
    </w:p>
    <w:p w14:paraId="645BA0C0" w14:textId="1789CFE5" w:rsidR="006145A3" w:rsidRPr="00232A5C" w:rsidRDefault="006145A3" w:rsidP="006145A3">
      <w:pPr>
        <w:pStyle w:val="Para0"/>
      </w:pPr>
      <w:r w:rsidRPr="00232A5C">
        <w:t xml:space="preserve">Research </w:t>
      </w:r>
      <w:r>
        <w:t xml:space="preserve">also </w:t>
      </w:r>
      <w:r w:rsidRPr="00232A5C">
        <w:t>shows that children learn best when their mother tongue/first language is the language of instruction in their first years of schooling. Of particular re</w:t>
      </w:r>
      <w:r w:rsidR="00802DDB">
        <w:t>levance for Indigenous language-</w:t>
      </w:r>
      <w:r w:rsidRPr="00232A5C">
        <w:t>speaking students is the finding that, amongst minoritised populations, mothe</w:t>
      </w:r>
      <w:r>
        <w:t>r tongue/</w:t>
      </w:r>
      <w:r w:rsidRPr="00232A5C">
        <w:t xml:space="preserve">first language programmes can drive family and community engagement with education </w:t>
      </w:r>
      <w:sdt>
        <w:sdtPr>
          <w:id w:val="283009993"/>
          <w:citation/>
        </w:sdtPr>
        <w:sdtEndPr/>
        <w:sdtContent>
          <w:r w:rsidR="005300E6">
            <w:fldChar w:fldCharType="begin"/>
          </w:r>
          <w:r w:rsidR="005300E6">
            <w:instrText xml:space="preserve"> CITATION Bal11 \l 2057  \m Ben051</w:instrText>
          </w:r>
          <w:r w:rsidR="005300E6">
            <w:fldChar w:fldCharType="separate"/>
          </w:r>
          <w:bookmarkStart w:id="192" w:name="Ben051_123"/>
          <w:r w:rsidR="005300E6" w:rsidRPr="005300E6">
            <w:rPr>
              <w:noProof/>
            </w:rPr>
            <w:t>(Ball, 2011</w:t>
          </w:r>
          <w:r w:rsidR="005300E6" w:rsidRPr="005300E6">
            <w:rPr>
              <w:noProof/>
              <w:vertAlign w:val="subscript"/>
            </w:rPr>
            <w:t>[122]</w:t>
          </w:r>
          <w:r w:rsidR="005300E6" w:rsidRPr="005300E6">
            <w:rPr>
              <w:noProof/>
            </w:rPr>
            <w:t>; Benson, 2005</w:t>
          </w:r>
          <w:r w:rsidR="005300E6" w:rsidRPr="005300E6">
            <w:rPr>
              <w:noProof/>
              <w:vertAlign w:val="subscript"/>
            </w:rPr>
            <w:t>[123]</w:t>
          </w:r>
          <w:r w:rsidR="005300E6" w:rsidRPr="005300E6">
            <w:rPr>
              <w:noProof/>
            </w:rPr>
            <w:t>)</w:t>
          </w:r>
          <w:bookmarkEnd w:id="192"/>
          <w:r w:rsidR="005300E6">
            <w:fldChar w:fldCharType="end"/>
          </w:r>
        </w:sdtContent>
      </w:sdt>
      <w:r w:rsidRPr="00232A5C">
        <w:t xml:space="preserve">: </w:t>
      </w:r>
    </w:p>
    <w:p w14:paraId="2A32D971" w14:textId="77777777" w:rsidR="006145A3" w:rsidRPr="006D60DE" w:rsidRDefault="006145A3" w:rsidP="006145A3">
      <w:pPr>
        <w:pStyle w:val="Quote"/>
      </w:pPr>
      <w:r w:rsidRPr="006D60DE">
        <w:t xml:space="preserve">The evidence is clear: mother-tongue-based bilingual education significantly enhances the learning outcomes of students from minority language communities. Moreover, when mother-tongue bilingual education programmes are developed in a manner that involves community members in some significant way and explicitly addresses community concerns, these programmes also promote the identification of the minority community with the formal education process. </w:t>
      </w:r>
    </w:p>
    <w:p w14:paraId="7BCC88E8" w14:textId="7D48639F" w:rsidR="006145A3" w:rsidRPr="006D60DE" w:rsidRDefault="008D0BBE" w:rsidP="006145A3">
      <w:pPr>
        <w:pStyle w:val="Quote"/>
      </w:pPr>
      <w:sdt>
        <w:sdtPr>
          <w:id w:val="-1854180196"/>
          <w:citation/>
        </w:sdtPr>
        <w:sdtEndPr/>
        <w:sdtContent>
          <w:r w:rsidR="00152FC3">
            <w:fldChar w:fldCharType="begin"/>
          </w:r>
          <w:r w:rsidR="00152FC3">
            <w:instrText xml:space="preserve"> CITATION Büh08 \l 2057 </w:instrText>
          </w:r>
          <w:r w:rsidR="00152FC3">
            <w:fldChar w:fldCharType="separate"/>
          </w:r>
          <w:r w:rsidR="00152FC3" w:rsidRPr="00152FC3">
            <w:rPr>
              <w:noProof/>
            </w:rPr>
            <w:t>(Bühmann and Trudell, 2008</w:t>
          </w:r>
          <w:r w:rsidR="00152FC3" w:rsidRPr="00152FC3">
            <w:rPr>
              <w:noProof/>
              <w:vertAlign w:val="subscript"/>
            </w:rPr>
            <w:t>[113]</w:t>
          </w:r>
          <w:r w:rsidR="00152FC3" w:rsidRPr="00152FC3">
            <w:rPr>
              <w:noProof/>
            </w:rPr>
            <w:t>)</w:t>
          </w:r>
          <w:r w:rsidR="00152FC3">
            <w:fldChar w:fldCharType="end"/>
          </w:r>
        </w:sdtContent>
      </w:sdt>
    </w:p>
    <w:p w14:paraId="70AD29B5" w14:textId="2BEB6A28" w:rsidR="006145A3" w:rsidRPr="00232A5C" w:rsidRDefault="006145A3" w:rsidP="006145A3">
      <w:pPr>
        <w:pStyle w:val="Para0"/>
        <w:rPr>
          <w:lang w:val="en-US"/>
        </w:rPr>
      </w:pPr>
      <w:r w:rsidRPr="00CE7CB9">
        <w:rPr>
          <w:lang w:val="en-US"/>
        </w:rPr>
        <w:t xml:space="preserve">The use of </w:t>
      </w:r>
      <w:r w:rsidRPr="00232A5C">
        <w:rPr>
          <w:lang w:val="en-US"/>
        </w:rPr>
        <w:t xml:space="preserve">both </w:t>
      </w:r>
      <w:r w:rsidRPr="00B87DD2">
        <w:t>mother tongue/first language</w:t>
      </w:r>
      <w:r w:rsidRPr="00232A5C">
        <w:rPr>
          <w:lang w:val="en-US"/>
        </w:rPr>
        <w:t xml:space="preserve"> and </w:t>
      </w:r>
      <w:r w:rsidRPr="00861FB9">
        <w:t>additional/second language</w:t>
      </w:r>
      <w:r w:rsidRPr="00232A5C">
        <w:rPr>
          <w:lang w:val="en-US"/>
        </w:rPr>
        <w:t xml:space="preserve"> in school programmes is generally beneficial to proficiency </w:t>
      </w:r>
      <w:r>
        <w:rPr>
          <w:lang w:val="en-US"/>
        </w:rPr>
        <w:t xml:space="preserve">in the </w:t>
      </w:r>
      <w:r w:rsidRPr="00861FB9">
        <w:t>additional/second language</w:t>
      </w:r>
      <w:r w:rsidRPr="00F777FC">
        <w:t xml:space="preserve"> </w:t>
      </w:r>
      <w:sdt>
        <w:sdtPr>
          <w:id w:val="-1034961773"/>
          <w:citation/>
        </w:sdtPr>
        <w:sdtEndPr/>
        <w:sdtContent>
          <w:r w:rsidR="00E45FD3">
            <w:fldChar w:fldCharType="begin"/>
          </w:r>
          <w:r w:rsidR="00E45FD3">
            <w:instrText xml:space="preserve"> CITATION Win99 \l 2057  \m Gar07 \m DeJ02</w:instrText>
          </w:r>
          <w:r w:rsidR="00E45FD3">
            <w:fldChar w:fldCharType="separate"/>
          </w:r>
          <w:bookmarkStart w:id="193" w:name="Gar07_125"/>
          <w:bookmarkStart w:id="194" w:name="DeJ02_126"/>
          <w:r w:rsidR="00E45FD3" w:rsidRPr="00E45FD3">
            <w:rPr>
              <w:noProof/>
            </w:rPr>
            <w:t>(</w:t>
          </w:r>
          <w:bookmarkStart w:id="195" w:name="Win99_124"/>
          <w:r w:rsidR="00E45FD3" w:rsidRPr="00E45FD3">
            <w:rPr>
              <w:noProof/>
            </w:rPr>
            <w:t>Winsler et al., 1999</w:t>
          </w:r>
          <w:r w:rsidR="00E45FD3" w:rsidRPr="00E45FD3">
            <w:rPr>
              <w:noProof/>
              <w:vertAlign w:val="subscript"/>
            </w:rPr>
            <w:t>[124]</w:t>
          </w:r>
          <w:r w:rsidR="00E45FD3" w:rsidRPr="00E45FD3">
            <w:rPr>
              <w:noProof/>
            </w:rPr>
            <w:t xml:space="preserve">; </w:t>
          </w:r>
          <w:bookmarkEnd w:id="195"/>
          <w:r w:rsidR="00E45FD3" w:rsidRPr="00E45FD3">
            <w:rPr>
              <w:noProof/>
            </w:rPr>
            <w:t>Garcia and Bartlett, 2007</w:t>
          </w:r>
          <w:r w:rsidR="00E45FD3" w:rsidRPr="00E45FD3">
            <w:rPr>
              <w:noProof/>
              <w:vertAlign w:val="subscript"/>
            </w:rPr>
            <w:t>[125]</w:t>
          </w:r>
          <w:r w:rsidR="00E45FD3" w:rsidRPr="00E45FD3">
            <w:rPr>
              <w:noProof/>
            </w:rPr>
            <w:t>; De Jong, 2002</w:t>
          </w:r>
          <w:r w:rsidR="00E45FD3" w:rsidRPr="00E45FD3">
            <w:rPr>
              <w:noProof/>
              <w:vertAlign w:val="subscript"/>
            </w:rPr>
            <w:t>[126]</w:t>
          </w:r>
          <w:r w:rsidR="00E45FD3" w:rsidRPr="00E45FD3">
            <w:rPr>
              <w:noProof/>
            </w:rPr>
            <w:t>)</w:t>
          </w:r>
          <w:bookmarkEnd w:id="193"/>
          <w:bookmarkEnd w:id="194"/>
          <w:r w:rsidR="00E45FD3">
            <w:fldChar w:fldCharType="end"/>
          </w:r>
        </w:sdtContent>
      </w:sdt>
      <w:r w:rsidRPr="00232A5C">
        <w:t>.</w:t>
      </w:r>
      <w:r w:rsidRPr="00232A5C">
        <w:rPr>
          <w:lang w:val="en-US"/>
        </w:rPr>
        <w:t xml:space="preserve"> Studies also suggest that when a minority-language-speaking child learns in school in their </w:t>
      </w:r>
      <w:r w:rsidRPr="00B87DD2">
        <w:t>mother tongue/first language</w:t>
      </w:r>
      <w:r w:rsidRPr="00232A5C">
        <w:rPr>
          <w:lang w:val="en-US"/>
        </w:rPr>
        <w:t xml:space="preserve"> before adding in learning in the </w:t>
      </w:r>
      <w:r w:rsidRPr="00861FB9">
        <w:t>additional/second language</w:t>
      </w:r>
      <w:r w:rsidRPr="00232A5C">
        <w:rPr>
          <w:lang w:val="en-US"/>
        </w:rPr>
        <w:t xml:space="preserve">, they may score as well in the </w:t>
      </w:r>
      <w:r w:rsidRPr="00861FB9">
        <w:t>additional/second language</w:t>
      </w:r>
      <w:r w:rsidRPr="00232A5C">
        <w:rPr>
          <w:lang w:val="en-US"/>
        </w:rPr>
        <w:t xml:space="preserve"> as students who were in </w:t>
      </w:r>
      <w:r w:rsidRPr="00861FB9">
        <w:t>additional/second language</w:t>
      </w:r>
      <w:r w:rsidRPr="00232A5C">
        <w:rPr>
          <w:lang w:val="en-US"/>
        </w:rPr>
        <w:t xml:space="preserve">-only programmes </w:t>
      </w:r>
      <w:sdt>
        <w:sdtPr>
          <w:rPr>
            <w:lang w:val="en-US"/>
          </w:rPr>
          <w:id w:val="1036551660"/>
          <w:citation/>
        </w:sdtPr>
        <w:sdtEndPr/>
        <w:sdtContent>
          <w:r w:rsidR="00D177A6">
            <w:rPr>
              <w:lang w:val="en-US"/>
            </w:rPr>
            <w:fldChar w:fldCharType="begin"/>
          </w:r>
          <w:r w:rsidR="00D177A6">
            <w:instrText xml:space="preserve">CITATION Gen12 \l 2057 </w:instrText>
          </w:r>
          <w:r w:rsidR="00D177A6">
            <w:rPr>
              <w:lang w:val="en-US"/>
            </w:rPr>
            <w:fldChar w:fldCharType="separate"/>
          </w:r>
          <w:r w:rsidR="00D177A6" w:rsidRPr="00D177A6">
            <w:rPr>
              <w:noProof/>
            </w:rPr>
            <w:t>(</w:t>
          </w:r>
          <w:bookmarkStart w:id="196" w:name="Gen12_127"/>
          <w:r w:rsidR="00D177A6" w:rsidRPr="00D177A6">
            <w:rPr>
              <w:noProof/>
            </w:rPr>
            <w:t>Genesee and Lindholm-Leary, 2012</w:t>
          </w:r>
          <w:r w:rsidR="00D177A6" w:rsidRPr="00D177A6">
            <w:rPr>
              <w:noProof/>
              <w:vertAlign w:val="subscript"/>
            </w:rPr>
            <w:t>[127]</w:t>
          </w:r>
          <w:r w:rsidR="00D177A6" w:rsidRPr="00D177A6">
            <w:rPr>
              <w:noProof/>
            </w:rPr>
            <w:t>)</w:t>
          </w:r>
          <w:bookmarkEnd w:id="196"/>
          <w:r w:rsidR="00D177A6">
            <w:rPr>
              <w:lang w:val="en-US"/>
            </w:rPr>
            <w:fldChar w:fldCharType="end"/>
          </w:r>
        </w:sdtContent>
      </w:sdt>
      <w:r w:rsidRPr="00232A5C">
        <w:t>.</w:t>
      </w:r>
      <w:r w:rsidRPr="00232A5C">
        <w:rPr>
          <w:lang w:val="en-US"/>
        </w:rPr>
        <w:t xml:space="preserve"> An advantage here is that the students also achieve higher language skills in their </w:t>
      </w:r>
      <w:r w:rsidRPr="00B87DD2">
        <w:t>mother tongue/first language</w:t>
      </w:r>
      <w:r w:rsidRPr="00232A5C">
        <w:rPr>
          <w:lang w:val="en-US"/>
        </w:rPr>
        <w:t xml:space="preserve">. This is </w:t>
      </w:r>
      <w:r w:rsidRPr="00232A5C">
        <w:rPr>
          <w:lang w:val="en-US"/>
        </w:rPr>
        <w:lastRenderedPageBreak/>
        <w:t xml:space="preserve">the basis of programmes often labelled bilingual or dual-language education, where content learning is undertaken in both </w:t>
      </w:r>
      <w:r w:rsidRPr="00B87DD2">
        <w:t>mother tongue/first language</w:t>
      </w:r>
      <w:r w:rsidRPr="00852D94">
        <w:t xml:space="preserve"> </w:t>
      </w:r>
      <w:r w:rsidRPr="00232A5C">
        <w:rPr>
          <w:lang w:val="en-US"/>
        </w:rPr>
        <w:t xml:space="preserve">and </w:t>
      </w:r>
      <w:r w:rsidRPr="00861FB9">
        <w:t>additional/second language</w:t>
      </w:r>
      <w:r w:rsidRPr="00232A5C">
        <w:rPr>
          <w:lang w:val="en-US"/>
        </w:rPr>
        <w:t xml:space="preserve">. </w:t>
      </w:r>
    </w:p>
    <w:p w14:paraId="3E2607A7" w14:textId="7EB93988" w:rsidR="006145A3" w:rsidRPr="00232A5C" w:rsidRDefault="006145A3" w:rsidP="006145A3">
      <w:pPr>
        <w:pStyle w:val="Para0"/>
        <w:rPr>
          <w:lang w:val="en-US"/>
        </w:rPr>
      </w:pPr>
      <w:r>
        <w:rPr>
          <w:lang w:val="en-US"/>
        </w:rPr>
        <w:t>“T</w:t>
      </w:r>
      <w:r w:rsidRPr="00232A5C">
        <w:rPr>
          <w:lang w:val="en-US"/>
        </w:rPr>
        <w:t>ranslanguaging</w:t>
      </w:r>
      <w:r>
        <w:rPr>
          <w:lang w:val="en-US"/>
        </w:rPr>
        <w:t>”</w:t>
      </w:r>
      <w:r w:rsidRPr="00232A5C">
        <w:rPr>
          <w:i/>
          <w:lang w:val="en-US"/>
        </w:rPr>
        <w:t xml:space="preserve"> </w:t>
      </w:r>
      <w:sdt>
        <w:sdtPr>
          <w:rPr>
            <w:i/>
            <w:lang w:val="en-US"/>
          </w:rPr>
          <w:id w:val="-1378539303"/>
          <w:citation/>
        </w:sdtPr>
        <w:sdtEndPr/>
        <w:sdtContent>
          <w:r w:rsidR="00D177A6">
            <w:rPr>
              <w:i/>
              <w:lang w:val="en-US"/>
            </w:rPr>
            <w:fldChar w:fldCharType="begin"/>
          </w:r>
          <w:r w:rsidR="00D177A6">
            <w:rPr>
              <w:i/>
            </w:rPr>
            <w:instrText xml:space="preserve"> CITATION Gar14 \l 2057 </w:instrText>
          </w:r>
          <w:r w:rsidR="00DD2B6C">
            <w:rPr>
              <w:i/>
            </w:rPr>
            <w:instrText xml:space="preserve"> \m Wei11</w:instrText>
          </w:r>
          <w:r w:rsidR="00D177A6">
            <w:rPr>
              <w:i/>
              <w:lang w:val="en-US"/>
            </w:rPr>
            <w:fldChar w:fldCharType="separate"/>
          </w:r>
          <w:bookmarkStart w:id="197" w:name="Wei11_129"/>
          <w:r w:rsidR="00DD2B6C" w:rsidRPr="00DD2B6C">
            <w:rPr>
              <w:noProof/>
            </w:rPr>
            <w:t>(García and Wei, 2014</w:t>
          </w:r>
          <w:r w:rsidR="00DD2B6C" w:rsidRPr="00DD2B6C">
            <w:rPr>
              <w:noProof/>
              <w:vertAlign w:val="subscript"/>
            </w:rPr>
            <w:t>[128]</w:t>
          </w:r>
          <w:r w:rsidR="00DD2B6C" w:rsidRPr="00DD2B6C">
            <w:rPr>
              <w:noProof/>
            </w:rPr>
            <w:t>; Wei, 2011</w:t>
          </w:r>
          <w:r w:rsidR="00DD2B6C" w:rsidRPr="00DD2B6C">
            <w:rPr>
              <w:noProof/>
              <w:vertAlign w:val="subscript"/>
            </w:rPr>
            <w:t>[129]</w:t>
          </w:r>
          <w:r w:rsidR="00DD2B6C" w:rsidRPr="00DD2B6C">
            <w:rPr>
              <w:noProof/>
            </w:rPr>
            <w:t>)</w:t>
          </w:r>
          <w:bookmarkEnd w:id="197"/>
          <w:r w:rsidR="00D177A6">
            <w:rPr>
              <w:i/>
              <w:lang w:val="en-US"/>
            </w:rPr>
            <w:fldChar w:fldCharType="end"/>
          </w:r>
        </w:sdtContent>
      </w:sdt>
      <w:r w:rsidRPr="00232A5C">
        <w:rPr>
          <w:i/>
          <w:lang w:val="en-US"/>
        </w:rPr>
        <w:t xml:space="preserve"> </w:t>
      </w:r>
      <w:r w:rsidR="00802DDB">
        <w:rPr>
          <w:lang w:val="en-US"/>
        </w:rPr>
        <w:t xml:space="preserve">refers to the natural behaviour of </w:t>
      </w:r>
      <w:r w:rsidRPr="006116B4">
        <w:rPr>
          <w:lang w:val="en-US"/>
        </w:rPr>
        <w:t>multilingual people moving fluidly between the languages in their repertoire to communicate, perhaps using several languages in a conversation with people who have similar repertoires</w:t>
      </w:r>
      <w:r>
        <w:rPr>
          <w:lang w:val="en-US"/>
        </w:rPr>
        <w:t>.</w:t>
      </w:r>
      <w:r w:rsidRPr="006116B4">
        <w:rPr>
          <w:lang w:val="en-US"/>
        </w:rPr>
        <w:t xml:space="preserve"> </w:t>
      </w:r>
      <w:r>
        <w:rPr>
          <w:lang w:val="en-US"/>
        </w:rPr>
        <w:t>T</w:t>
      </w:r>
      <w:r w:rsidR="00802DDB">
        <w:rPr>
          <w:lang w:val="en-US"/>
        </w:rPr>
        <w:t xml:space="preserve">ranslanguaging advocates </w:t>
      </w:r>
      <w:r w:rsidRPr="006116B4">
        <w:rPr>
          <w:lang w:val="en-US"/>
        </w:rPr>
        <w:t xml:space="preserve">see the use of both mother tongue/first language and </w:t>
      </w:r>
      <w:r w:rsidR="00802DDB">
        <w:rPr>
          <w:lang w:val="en-US"/>
        </w:rPr>
        <w:t xml:space="preserve">and the </w:t>
      </w:r>
      <w:r w:rsidRPr="006116B4">
        <w:rPr>
          <w:lang w:val="en-US"/>
        </w:rPr>
        <w:t xml:space="preserve">additional/second language in </w:t>
      </w:r>
      <w:r w:rsidR="00802DDB">
        <w:rPr>
          <w:lang w:val="en-US"/>
        </w:rPr>
        <w:t>classrooms</w:t>
      </w:r>
      <w:r w:rsidRPr="006116B4">
        <w:rPr>
          <w:lang w:val="en-US"/>
        </w:rPr>
        <w:t xml:space="preserve"> as</w:t>
      </w:r>
      <w:r w:rsidRPr="00232A5C">
        <w:rPr>
          <w:lang w:val="en-US"/>
        </w:rPr>
        <w:t xml:space="preserve"> beneficial, because students can process and produce content in their </w:t>
      </w:r>
      <w:r w:rsidRPr="00B87DD2">
        <w:t>mother tongue/first language</w:t>
      </w:r>
      <w:r w:rsidRPr="00232A5C">
        <w:rPr>
          <w:lang w:val="en-US"/>
        </w:rPr>
        <w:t xml:space="preserve"> and their emerging </w:t>
      </w:r>
      <w:r w:rsidRPr="00861FB9">
        <w:t>additional/second language</w:t>
      </w:r>
      <w:r w:rsidRPr="00232A5C">
        <w:rPr>
          <w:lang w:val="en-US"/>
        </w:rPr>
        <w:t xml:space="preserve"> knowledge, rather than struggling with </w:t>
      </w:r>
      <w:r w:rsidRPr="00861FB9">
        <w:t>additional/second language</w:t>
      </w:r>
      <w:r w:rsidRPr="00232A5C">
        <w:rPr>
          <w:lang w:val="en-US"/>
        </w:rPr>
        <w:t>-only.</w:t>
      </w:r>
    </w:p>
    <w:p w14:paraId="54007818" w14:textId="611FA5D9" w:rsidR="006145A3" w:rsidRPr="0007057F" w:rsidRDefault="006145A3" w:rsidP="006145A3">
      <w:pPr>
        <w:pStyle w:val="Para0"/>
      </w:pPr>
      <w:r w:rsidRPr="0007057F">
        <w:t xml:space="preserve">From </w:t>
      </w:r>
      <w:r w:rsidR="00802DDB">
        <w:t xml:space="preserve">the </w:t>
      </w:r>
      <w:r w:rsidRPr="0007057F">
        <w:t xml:space="preserve">students' perspective, </w:t>
      </w:r>
      <w:r w:rsidR="00802DDB">
        <w:t xml:space="preserve">however, </w:t>
      </w:r>
      <w:r w:rsidRPr="0007057F">
        <w:t>having a teacher who delivers the curriculum through a language they understand makes the difference between understanding classroom content and not. Lisi from the Torres Strait Islands, Australia, reflects on how the use of students' mother tongue, Yumplatok, made classroom content accessible for herself and other students:</w:t>
      </w:r>
    </w:p>
    <w:p w14:paraId="310C162C" w14:textId="77777777" w:rsidR="006145A3" w:rsidRPr="006D60DE" w:rsidRDefault="006145A3" w:rsidP="006145A3">
      <w:pPr>
        <w:pStyle w:val="Quote"/>
      </w:pPr>
      <w:r w:rsidRPr="006D60DE">
        <w:t>We were taugh</w:t>
      </w:r>
      <w:r>
        <w:t>t in “broken English”</w:t>
      </w:r>
      <w:r w:rsidRPr="006D60DE">
        <w:t xml:space="preserve"> [Yumplatok] because we had an Islander teacher. Then Year</w:t>
      </w:r>
      <w:r>
        <w:t> </w:t>
      </w:r>
      <w:r w:rsidRPr="006D60DE">
        <w:t>6 and 7 we had a white [non-Indigenous] teacher but most of the time we couldn't understand her. So we had a teacher aide th</w:t>
      </w:r>
      <w:r>
        <w:t>ere . . . translating into our “broken English”</w:t>
      </w:r>
      <w:r w:rsidRPr="006D60DE">
        <w:t xml:space="preserve"> and then yeah, we'd understand it then. </w:t>
      </w:r>
    </w:p>
    <w:p w14:paraId="37BB6D94" w14:textId="47B8ADA3" w:rsidR="006145A3" w:rsidRPr="006D60DE" w:rsidRDefault="006145A3" w:rsidP="006145A3">
      <w:pPr>
        <w:pStyle w:val="Quote"/>
      </w:pPr>
      <w:r w:rsidRPr="006D60DE">
        <w:t xml:space="preserve">Lisi quoted in Bobongie </w:t>
      </w:r>
      <w:sdt>
        <w:sdtPr>
          <w:id w:val="2082250761"/>
          <w:citation/>
        </w:sdtPr>
        <w:sdtEndPr/>
        <w:sdtContent>
          <w:r w:rsidR="00DD2B6C">
            <w:fldChar w:fldCharType="begin"/>
          </w:r>
          <w:r w:rsidR="00DD2B6C">
            <w:instrText xml:space="preserve">CITATION Bob17 \n  \l 2057 </w:instrText>
          </w:r>
          <w:r w:rsidR="00DD2B6C">
            <w:fldChar w:fldCharType="separate"/>
          </w:r>
          <w:r w:rsidR="00DD2B6C" w:rsidRPr="00DD2B6C">
            <w:rPr>
              <w:noProof/>
            </w:rPr>
            <w:t>(2017</w:t>
          </w:r>
          <w:r w:rsidR="00DD2B6C" w:rsidRPr="00DD2B6C">
            <w:rPr>
              <w:noProof/>
              <w:vertAlign w:val="subscript"/>
            </w:rPr>
            <w:t>[130]</w:t>
          </w:r>
          <w:r w:rsidR="00DD2B6C" w:rsidRPr="00DD2B6C">
            <w:rPr>
              <w:noProof/>
            </w:rPr>
            <w:t>)</w:t>
          </w:r>
          <w:r w:rsidR="00DD2B6C">
            <w:fldChar w:fldCharType="end"/>
          </w:r>
        </w:sdtContent>
      </w:sdt>
    </w:p>
    <w:p w14:paraId="2C678735" w14:textId="599DB0E3" w:rsidR="006145A3" w:rsidRDefault="00802DDB" w:rsidP="006145A3">
      <w:pPr>
        <w:pStyle w:val="Para0"/>
      </w:pPr>
      <w:r>
        <w:t>Implementing m</w:t>
      </w:r>
      <w:r w:rsidR="006145A3" w:rsidRPr="00314A20">
        <w:t>other</w:t>
      </w:r>
      <w:r w:rsidR="006145A3" w:rsidRPr="00055876">
        <w:t xml:space="preserve"> tongue-based bilingual education involves </w:t>
      </w:r>
      <w:r>
        <w:t xml:space="preserve">developing language-based curriculum across all or some subject areas along with relevant teaching resources. It also needs </w:t>
      </w:r>
      <w:r w:rsidR="006145A3" w:rsidRPr="00055876">
        <w:t xml:space="preserve">a particular pedagogy and </w:t>
      </w:r>
      <w:r>
        <w:t xml:space="preserve">benefits from </w:t>
      </w:r>
      <w:r w:rsidR="006145A3" w:rsidRPr="00055876">
        <w:t xml:space="preserve">evaluation. Attention to how each language </w:t>
      </w:r>
      <w:r w:rsidR="006145A3">
        <w:t>is</w:t>
      </w:r>
      <w:r w:rsidR="006145A3" w:rsidRPr="00055876">
        <w:t xml:space="preserve"> applied to classroom learning over the course of schooling is required with special consideration for encouraging the transfer of competencies between mother tongue/first language and </w:t>
      </w:r>
      <w:r w:rsidR="006145A3">
        <w:t xml:space="preserve">the </w:t>
      </w:r>
      <w:r w:rsidR="006145A3" w:rsidRPr="00055876">
        <w:t xml:space="preserve">second language. To evaluate learning outcomes, assessments/tests are conducted in </w:t>
      </w:r>
      <w:r w:rsidR="006145A3">
        <w:t xml:space="preserve">the </w:t>
      </w:r>
      <w:r w:rsidR="006145A3" w:rsidRPr="00055876">
        <w:t xml:space="preserve">mother tongue as well as the (inter-)national language. This tailored approach to evaluation is important for monitoring programme effectiveness </w:t>
      </w:r>
      <w:r w:rsidR="006145A3">
        <w:t xml:space="preserve">and individual student progress </w:t>
      </w:r>
      <w:sdt>
        <w:sdtPr>
          <w:id w:val="-129019890"/>
          <w:citation/>
        </w:sdtPr>
        <w:sdtEndPr/>
        <w:sdtContent>
          <w:r w:rsidR="00DD2B6C">
            <w:fldChar w:fldCharType="begin"/>
          </w:r>
          <w:r w:rsidR="00DD2B6C">
            <w:instrText xml:space="preserve"> CITATION Büh08 \l 2057 </w:instrText>
          </w:r>
          <w:r w:rsidR="00DD2B6C">
            <w:fldChar w:fldCharType="separate"/>
          </w:r>
          <w:r w:rsidR="00DD2B6C" w:rsidRPr="00DD2B6C">
            <w:rPr>
              <w:noProof/>
            </w:rPr>
            <w:t>(Bühmann and Trudell, 2008</w:t>
          </w:r>
          <w:r w:rsidR="00DD2B6C" w:rsidRPr="00DD2B6C">
            <w:rPr>
              <w:noProof/>
              <w:vertAlign w:val="subscript"/>
            </w:rPr>
            <w:t>[113]</w:t>
          </w:r>
          <w:r w:rsidR="00DD2B6C" w:rsidRPr="00DD2B6C">
            <w:rPr>
              <w:noProof/>
            </w:rPr>
            <w:t>)</w:t>
          </w:r>
          <w:r w:rsidR="00DD2B6C">
            <w:fldChar w:fldCharType="end"/>
          </w:r>
        </w:sdtContent>
      </w:sdt>
      <w:r w:rsidR="006145A3">
        <w:t>.</w:t>
      </w:r>
    </w:p>
    <w:tbl>
      <w:tblPr>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6145A3" w:rsidRPr="00E2226B" w14:paraId="33BE3231" w14:textId="77777777" w:rsidTr="003E4CEC">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1ABAB7D3" w14:textId="466312D1" w:rsidR="006145A3" w:rsidRDefault="006145A3" w:rsidP="003E4CEC">
            <w:pPr>
              <w:pStyle w:val="Caption"/>
            </w:pPr>
            <w:r w:rsidRPr="00B44A50">
              <w:t>Box</w:t>
            </w:r>
            <w:r>
              <w:t> </w:t>
            </w:r>
            <w:r>
              <w:rPr>
                <w:noProof/>
              </w:rPr>
              <w:fldChar w:fldCharType="begin"/>
            </w:r>
            <w:r>
              <w:rPr>
                <w:noProof/>
              </w:rPr>
              <w:instrText xml:space="preserve"> STYLEREF 1 \s </w:instrText>
            </w:r>
            <w:r>
              <w:rPr>
                <w:noProof/>
              </w:rPr>
              <w:fldChar w:fldCharType="separate"/>
            </w:r>
            <w:r w:rsidR="00CA5B8D">
              <w:rPr>
                <w:noProof/>
              </w:rPr>
              <w:t>5</w:t>
            </w:r>
            <w:r>
              <w:rPr>
                <w:noProof/>
              </w:rPr>
              <w:fldChar w:fldCharType="end"/>
            </w:r>
            <w:r>
              <w:t>.</w:t>
            </w:r>
            <w:r>
              <w:rPr>
                <w:noProof/>
              </w:rPr>
              <w:fldChar w:fldCharType="begin"/>
            </w:r>
            <w:r>
              <w:rPr>
                <w:noProof/>
              </w:rPr>
              <w:instrText xml:space="preserve"> SEQ Box \* ARABIC \s 1 </w:instrText>
            </w:r>
            <w:r>
              <w:rPr>
                <w:noProof/>
              </w:rPr>
              <w:fldChar w:fldCharType="separate"/>
            </w:r>
            <w:r w:rsidR="00CA5B8D">
              <w:rPr>
                <w:noProof/>
              </w:rPr>
              <w:t>2</w:t>
            </w:r>
            <w:r>
              <w:rPr>
                <w:noProof/>
              </w:rPr>
              <w:fldChar w:fldCharType="end"/>
            </w:r>
            <w:r>
              <w:t xml:space="preserve">. </w:t>
            </w:r>
            <w:r w:rsidRPr="00C038C9">
              <w:t>Common myths (falsehoods) about mother tongue medium instruction</w:t>
            </w:r>
          </w:p>
          <w:p w14:paraId="082ADCA4" w14:textId="0D517B81" w:rsidR="006145A3" w:rsidRDefault="006145A3" w:rsidP="003E4CEC">
            <w:pPr>
              <w:pStyle w:val="Para0"/>
            </w:pPr>
            <w:r>
              <w:t xml:space="preserve">Jeff Siegel </w:t>
            </w:r>
            <w:sdt>
              <w:sdtPr>
                <w:id w:val="934246059"/>
                <w:citation/>
              </w:sdtPr>
              <w:sdtEndPr/>
              <w:sdtContent>
                <w:r w:rsidR="00DD2B6C">
                  <w:fldChar w:fldCharType="begin"/>
                </w:r>
                <w:r w:rsidR="00DD2B6C">
                  <w:instrText xml:space="preserve">CITATION Sie10 \n  \l 2057 </w:instrText>
                </w:r>
                <w:r w:rsidR="00DD2B6C">
                  <w:fldChar w:fldCharType="separate"/>
                </w:r>
                <w:r w:rsidR="00DD2B6C" w:rsidRPr="00DD2B6C">
                  <w:rPr>
                    <w:noProof/>
                  </w:rPr>
                  <w:t>(2010</w:t>
                </w:r>
                <w:r w:rsidR="00DD2B6C" w:rsidRPr="00DD2B6C">
                  <w:rPr>
                    <w:noProof/>
                    <w:vertAlign w:val="subscript"/>
                  </w:rPr>
                  <w:t>[131]</w:t>
                </w:r>
                <w:r w:rsidR="00DD2B6C" w:rsidRPr="00DD2B6C">
                  <w:rPr>
                    <w:noProof/>
                  </w:rPr>
                  <w:t>)</w:t>
                </w:r>
                <w:r w:rsidR="00DD2B6C">
                  <w:fldChar w:fldCharType="end"/>
                </w:r>
              </w:sdtContent>
            </w:sdt>
            <w:r>
              <w:t xml:space="preserve"> proposes four “ideologies” (i.e. views prevalent in a society, in this case misapprehensions) about mother tongue speakers of contact languages, dialects spoken by particular ethnic/cultural groups (ethnolects) etc. in standard language classrooms, which all undermine the potential benefits of implementing mother tongue medium instruction: </w:t>
            </w:r>
          </w:p>
          <w:p w14:paraId="6F5F41E3" w14:textId="77777777" w:rsidR="006145A3" w:rsidRDefault="006145A3" w:rsidP="003E4CEC">
            <w:pPr>
              <w:pStyle w:val="NumberedList"/>
              <w:numPr>
                <w:ilvl w:val="0"/>
                <w:numId w:val="39"/>
              </w:numPr>
            </w:pPr>
            <w:r>
              <w:t xml:space="preserve">time on task: the mistaken belief that using a second language more or earlier in the classroom always equates to better student language learning, including that starting later is worse and using a mother tongue takes up time better spent on learning the second language </w:t>
            </w:r>
          </w:p>
          <w:p w14:paraId="346F9827" w14:textId="77777777" w:rsidR="006145A3" w:rsidRDefault="006145A3" w:rsidP="003E4CEC">
            <w:pPr>
              <w:pStyle w:val="NumberedList"/>
            </w:pPr>
            <w:r>
              <w:t xml:space="preserve">standard language: the misapprehension that a standard language is somehow intrinsically better for educational purposes, regardless of whether or not it is spoken by students </w:t>
            </w:r>
          </w:p>
          <w:p w14:paraId="382CDF38" w14:textId="77777777" w:rsidR="006145A3" w:rsidRDefault="006145A3" w:rsidP="003E4CEC">
            <w:pPr>
              <w:pStyle w:val="NumberedList"/>
            </w:pPr>
            <w:r>
              <w:t xml:space="preserve">monoglot: the erroneous view that monolingualism is normal, that people can speak only one language variety well and speaking others is in some way detrimental </w:t>
            </w:r>
          </w:p>
          <w:p w14:paraId="2C7C3306" w14:textId="77777777" w:rsidR="006145A3" w:rsidRPr="00775FF9" w:rsidRDefault="006145A3" w:rsidP="003E4CEC">
            <w:pPr>
              <w:pStyle w:val="NumberedList"/>
            </w:pPr>
            <w:r>
              <w:t>egalitarian: the inaccurate perspective that everybody already experiences equality, including equal opportunities in education, regardless of language backgrounds, so the same educational pathways are considered equally suitable for everybody, rather than working intentionally with diversity.</w:t>
            </w:r>
          </w:p>
        </w:tc>
      </w:tr>
    </w:tbl>
    <w:p w14:paraId="22984071" w14:textId="27022DEF" w:rsidR="006145A3" w:rsidRDefault="006145A3" w:rsidP="006145A3">
      <w:pPr>
        <w:pStyle w:val="Para0"/>
      </w:pPr>
      <w:r>
        <w:t>E</w:t>
      </w:r>
      <w:r w:rsidRPr="00232A5C">
        <w:t>ducation polic</w:t>
      </w:r>
      <w:r>
        <w:t>ies</w:t>
      </w:r>
      <w:r w:rsidRPr="00232A5C">
        <w:t xml:space="preserve"> and programmes </w:t>
      </w:r>
      <w:r>
        <w:t xml:space="preserve">that </w:t>
      </w:r>
      <w:r w:rsidRPr="00232A5C">
        <w:t xml:space="preserve">fail to acknowledge children's mother tongue/first language in classrooms results in </w:t>
      </w:r>
      <w:r>
        <w:t xml:space="preserve">submersion </w:t>
      </w:r>
      <w:r w:rsidRPr="00232A5C">
        <w:t>education</w:t>
      </w:r>
      <w:r>
        <w:t xml:space="preserve"> with children</w:t>
      </w:r>
      <w:r w:rsidRPr="00F30195">
        <w:t xml:space="preserve"> being taught in the target language without </w:t>
      </w:r>
      <w:r w:rsidRPr="00F30195">
        <w:lastRenderedPageBreak/>
        <w:t>explicit teaching of that language and without strengthening a</w:t>
      </w:r>
      <w:r>
        <w:t>nd valuing their first language. Clearly,</w:t>
      </w:r>
      <w:r w:rsidRPr="00232A5C">
        <w:t xml:space="preserve"> </w:t>
      </w:r>
      <w:r>
        <w:t>c</w:t>
      </w:r>
      <w:r w:rsidRPr="00232A5C">
        <w:t>hildren's learning is negatively affected if education is delivered in a language they do not understand. Similarly, test scores are worse when home and school languages differ (</w:t>
      </w:r>
      <w:r w:rsidRPr="005C35BB">
        <w:t>UNESCO, 2016</w:t>
      </w:r>
      <w:r w:rsidRPr="00232A5C">
        <w:t xml:space="preserve">). Despite these facts, in many countries, including the focus countries of this working paper, national languages can still be the favoured medium of instruction over Indigenous children's own mother tongues/first languages </w:t>
      </w:r>
      <w:sdt>
        <w:sdtPr>
          <w:id w:val="335731182"/>
          <w:citation/>
        </w:sdtPr>
        <w:sdtEndPr/>
        <w:sdtContent>
          <w:r w:rsidR="00DD2B6C">
            <w:fldChar w:fldCharType="begin"/>
          </w:r>
          <w:r w:rsidR="00DD2B6C">
            <w:instrText xml:space="preserve"> CITATION Kos17 \l 2057 </w:instrText>
          </w:r>
          <w:r w:rsidR="00DD2B6C">
            <w:fldChar w:fldCharType="separate"/>
          </w:r>
          <w:r w:rsidR="00DD2B6C" w:rsidRPr="00DD2B6C">
            <w:rPr>
              <w:noProof/>
            </w:rPr>
            <w:t>(</w:t>
          </w:r>
          <w:bookmarkStart w:id="198" w:name="Kos17_132"/>
          <w:r w:rsidR="00DD2B6C" w:rsidRPr="00DD2B6C">
            <w:rPr>
              <w:noProof/>
            </w:rPr>
            <w:t>Kosonen, 2017</w:t>
          </w:r>
          <w:r w:rsidR="00DD2B6C" w:rsidRPr="00DD2B6C">
            <w:rPr>
              <w:noProof/>
              <w:vertAlign w:val="subscript"/>
            </w:rPr>
            <w:t>[132]</w:t>
          </w:r>
          <w:r w:rsidR="00DD2B6C" w:rsidRPr="00DD2B6C">
            <w:rPr>
              <w:noProof/>
            </w:rPr>
            <w:t>)</w:t>
          </w:r>
          <w:bookmarkEnd w:id="198"/>
          <w:r w:rsidR="00DD2B6C">
            <w:fldChar w:fldCharType="end"/>
          </w:r>
        </w:sdtContent>
      </w:sdt>
      <w:r>
        <w:t>. This can be a “default”</w:t>
      </w:r>
      <w:r w:rsidRPr="00232A5C">
        <w:t xml:space="preserve"> mainstream and historical situation and language ideology</w:t>
      </w:r>
      <w:r>
        <w:t>,</w:t>
      </w:r>
      <w:r w:rsidRPr="00232A5C">
        <w:t xml:space="preserve"> rather than an informed and transparent choice. Bender describes it as "a legacy of non-productive practices that lead to low levels of learning and high levels of dropout and repetition" </w:t>
      </w:r>
      <w:sdt>
        <w:sdtPr>
          <w:id w:val="651950204"/>
          <w:citation/>
        </w:sdtPr>
        <w:sdtEndPr/>
        <w:sdtContent>
          <w:r w:rsidR="00DD2B6C">
            <w:fldChar w:fldCharType="begin"/>
          </w:r>
          <w:r w:rsidR="00DD2B6C">
            <w:instrText xml:space="preserve"> CITATION Ben05 \l 2057 </w:instrText>
          </w:r>
          <w:r w:rsidR="00DD2B6C">
            <w:fldChar w:fldCharType="separate"/>
          </w:r>
          <w:r w:rsidR="00DD2B6C" w:rsidRPr="00DD2B6C">
            <w:rPr>
              <w:noProof/>
            </w:rPr>
            <w:t>(Bender, P. et al, 2005</w:t>
          </w:r>
          <w:r w:rsidR="00DD2B6C" w:rsidRPr="00DD2B6C">
            <w:rPr>
              <w:noProof/>
              <w:vertAlign w:val="subscript"/>
            </w:rPr>
            <w:t>[114]</w:t>
          </w:r>
          <w:r w:rsidR="00DD2B6C" w:rsidRPr="00DD2B6C">
            <w:rPr>
              <w:noProof/>
            </w:rPr>
            <w:t>)</w:t>
          </w:r>
          <w:r w:rsidR="00DD2B6C">
            <w:fldChar w:fldCharType="end"/>
          </w:r>
        </w:sdtContent>
      </w:sdt>
      <w:r w:rsidRPr="00232A5C">
        <w:t>. Mother tongue/first languages pro</w:t>
      </w:r>
      <w:r>
        <w:t>grammes are more cost-</w:t>
      </w:r>
      <w:r w:rsidRPr="00232A5C">
        <w:t>effective in the long run because children stay in school longer and with greater benefit</w:t>
      </w:r>
      <w:r w:rsidRPr="00CE7CB9">
        <w:t>.</w:t>
      </w:r>
    </w:p>
    <w:tbl>
      <w:tblPr>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6145A3" w:rsidRPr="00E2226B" w14:paraId="0C2C5CCC" w14:textId="77777777" w:rsidTr="003E4CEC">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45ED0332" w14:textId="6292DA4F" w:rsidR="006145A3" w:rsidRDefault="006145A3" w:rsidP="003E4CEC">
            <w:pPr>
              <w:pStyle w:val="Caption"/>
            </w:pPr>
            <w:r w:rsidRPr="00B44A50">
              <w:lastRenderedPageBreak/>
              <w:t>Box</w:t>
            </w:r>
            <w:r>
              <w:t> </w:t>
            </w:r>
            <w:r>
              <w:rPr>
                <w:noProof/>
              </w:rPr>
              <w:fldChar w:fldCharType="begin"/>
            </w:r>
            <w:r>
              <w:rPr>
                <w:noProof/>
              </w:rPr>
              <w:instrText xml:space="preserve"> STYLEREF 1 \s </w:instrText>
            </w:r>
            <w:r>
              <w:rPr>
                <w:noProof/>
              </w:rPr>
              <w:fldChar w:fldCharType="separate"/>
            </w:r>
            <w:r w:rsidR="00CA5B8D">
              <w:rPr>
                <w:noProof/>
              </w:rPr>
              <w:t>5</w:t>
            </w:r>
            <w:r>
              <w:rPr>
                <w:noProof/>
              </w:rPr>
              <w:fldChar w:fldCharType="end"/>
            </w:r>
            <w:r>
              <w:t>.</w:t>
            </w:r>
            <w:r>
              <w:rPr>
                <w:noProof/>
              </w:rPr>
              <w:fldChar w:fldCharType="begin"/>
            </w:r>
            <w:r>
              <w:rPr>
                <w:noProof/>
              </w:rPr>
              <w:instrText xml:space="preserve"> SEQ Box \* ARABIC \s 1 </w:instrText>
            </w:r>
            <w:r>
              <w:rPr>
                <w:noProof/>
              </w:rPr>
              <w:fldChar w:fldCharType="separate"/>
            </w:r>
            <w:r w:rsidR="00CA5B8D">
              <w:rPr>
                <w:noProof/>
              </w:rPr>
              <w:t>3</w:t>
            </w:r>
            <w:r>
              <w:rPr>
                <w:noProof/>
              </w:rPr>
              <w:fldChar w:fldCharType="end"/>
            </w:r>
            <w:r>
              <w:t xml:space="preserve">. </w:t>
            </w:r>
            <w:r w:rsidRPr="00C038C9">
              <w:t>Immersion versus submersion</w:t>
            </w:r>
          </w:p>
          <w:p w14:paraId="30A06E54" w14:textId="77777777" w:rsidR="006145A3" w:rsidRDefault="006145A3" w:rsidP="003E4CEC">
            <w:pPr>
              <w:pStyle w:val="Para0"/>
            </w:pPr>
            <w:r>
              <w:t>In Aotearoa New Zealand, Australia and English-speaking areas of Canada, English-speaking children speak a language that is constantly reinforced. English is the national language and the everyday language of most people, including their student cohort. Most signs are written in English, as well as being the language in which most media is broadcast, and the language of most institutions and organisations, including the government. A French immersion school in such contexts, would recognise that the children are second language learners of French, and accordingly teach French explicitly and at their level of second language proficiency. These immersion programmes include the national language in some curriculum areas and/or from a certain age level, to meet higher education expectations for national language skills. The English-speaking parents usually are exercising a choice, to send their children to a French immersion school rather than an English medium school, and they do so because they value the opportunities that learning French gives their children, and because they believe their children's learning through English will be supported at home, in the community and, eventually, in schooling.</w:t>
            </w:r>
          </w:p>
          <w:p w14:paraId="15B56C34" w14:textId="77777777" w:rsidR="006145A3" w:rsidRDefault="006145A3" w:rsidP="003E4CEC">
            <w:pPr>
              <w:pStyle w:val="Para0"/>
            </w:pPr>
            <w:r>
              <w:t>English-speaking Indigenous children going to an Indigenous language immersion school, such as the Māori language immersion schools are in a somewhat similar position. Their schools recognise that they are learners of Māori, and teach accordingly. They too are usually exercising a choice, to send their children to a Māori immersion school rather than an English medium school. They do so because they value the connections to Māori heritage and community that learning Māori gives their children.</w:t>
            </w:r>
          </w:p>
          <w:p w14:paraId="6C04B8A4" w14:textId="60E4EA26" w:rsidR="006145A3" w:rsidRPr="00775FF9" w:rsidRDefault="006145A3" w:rsidP="00802DDB">
            <w:pPr>
              <w:pStyle w:val="Para0"/>
            </w:pPr>
            <w:r>
              <w:t xml:space="preserve">In some communities, Indigenous children speak Indigenous languages </w:t>
            </w:r>
            <w:r w:rsidR="00802DDB">
              <w:t xml:space="preserve">that </w:t>
            </w:r>
            <w:r>
              <w:t xml:space="preserve">are the everyday languages spoken by almost everybody in their community. Often, however, schools </w:t>
            </w:r>
            <w:r w:rsidR="00802DDB">
              <w:t xml:space="preserve">are </w:t>
            </w:r>
            <w:r>
              <w:t xml:space="preserve">run in English in these communities </w:t>
            </w:r>
            <w:r w:rsidR="00802DDB">
              <w:t xml:space="preserve">and </w:t>
            </w:r>
            <w:r>
              <w:t>deliver “mainstream” curriculum as if students are speakers of English, rather than learners. This failure to recognise children as English language learners submerses the children because it teaches them essentially as though they speak English</w:t>
            </w:r>
            <w:r w:rsidR="00802DDB">
              <w:t xml:space="preserve"> as their primary language</w:t>
            </w:r>
            <w:r>
              <w:t>. Parents almost always have no choice but to send their children to the English-submersion school. At the same time, parents may not be able to support their children's learning at home, because they themselves might have received inadequate schooling (through English), and English may not be their first language. None of the school content is available in their home language and if their own first language was excluded from their education, they might not have developed literacy in it. English “submersion” can seem like a good option because English is a national language and medium of further education and economic advancement. English-only submersion tends, however, to result in neither good proficiency in English</w:t>
            </w:r>
            <w:r w:rsidR="00802DDB">
              <w:t>, nor effective learning in school subjects,</w:t>
            </w:r>
            <w:r>
              <w:t xml:space="preserve"> nor maintaining students' mother tongue/first language. </w:t>
            </w:r>
          </w:p>
        </w:tc>
      </w:tr>
    </w:tbl>
    <w:p w14:paraId="1CF0C345" w14:textId="77777777" w:rsidR="006145A3" w:rsidRPr="00B931E6" w:rsidRDefault="006145A3" w:rsidP="006145A3">
      <w:pPr>
        <w:pStyle w:val="Heading2"/>
        <w:numPr>
          <w:ilvl w:val="1"/>
          <w:numId w:val="22"/>
        </w:numPr>
      </w:pPr>
      <w:bookmarkStart w:id="199" w:name="_Toc82093570"/>
      <w:bookmarkStart w:id="200" w:name="_Toc95824109"/>
      <w:bookmarkStart w:id="201" w:name="_Ref40477121"/>
      <w:r w:rsidRPr="00B931E6">
        <w:t xml:space="preserve">Learning </w:t>
      </w:r>
      <w:r w:rsidRPr="00723D09">
        <w:t>second</w:t>
      </w:r>
      <w:r w:rsidRPr="00B931E6">
        <w:t xml:space="preserve"> and additional languages</w:t>
      </w:r>
      <w:bookmarkEnd w:id="199"/>
      <w:bookmarkEnd w:id="200"/>
      <w:r w:rsidRPr="00B931E6">
        <w:t xml:space="preserve"> </w:t>
      </w:r>
      <w:bookmarkEnd w:id="201"/>
    </w:p>
    <w:p w14:paraId="5B7FFAA4" w14:textId="77777777" w:rsidR="006145A3" w:rsidRPr="00C66070" w:rsidRDefault="006145A3" w:rsidP="006145A3">
      <w:pPr>
        <w:pStyle w:val="Para0"/>
      </w:pPr>
      <w:r w:rsidRPr="00C66070">
        <w:t xml:space="preserve">Most studies in second language acquisition </w:t>
      </w:r>
      <w:r>
        <w:t xml:space="preserve">among children </w:t>
      </w:r>
      <w:r w:rsidRPr="00C66070">
        <w:t>examine the language development of:</w:t>
      </w:r>
    </w:p>
    <w:p w14:paraId="57BF57D8" w14:textId="77777777" w:rsidR="006145A3" w:rsidRPr="00723D09" w:rsidRDefault="006145A3" w:rsidP="006145A3">
      <w:pPr>
        <w:pStyle w:val="BulletedList"/>
      </w:pPr>
      <w:r w:rsidRPr="00723D09">
        <w:t>immigrant children learning a national and socially-dominant language in their new country (e.g.</w:t>
      </w:r>
      <w:r>
        <w:t> </w:t>
      </w:r>
      <w:r w:rsidRPr="00723D09">
        <w:t xml:space="preserve">speakers of Punjabi, Cantonese or </w:t>
      </w:r>
      <w:r>
        <w:t>Somali arriving in Aotearoa New </w:t>
      </w:r>
      <w:r w:rsidRPr="00723D09">
        <w:t>Zealand, Australia or Canada and learning English)</w:t>
      </w:r>
    </w:p>
    <w:p w14:paraId="6299D362" w14:textId="77777777" w:rsidR="006145A3" w:rsidRPr="00723D09" w:rsidRDefault="006145A3" w:rsidP="006145A3">
      <w:pPr>
        <w:pStyle w:val="BulletedList"/>
      </w:pPr>
      <w:r w:rsidRPr="00723D09">
        <w:t>children learning a foreign language which is spoken in another country but is not socially</w:t>
      </w:r>
      <w:r>
        <w:t xml:space="preserve"> dominant where they live (e.g. </w:t>
      </w:r>
      <w:r w:rsidRPr="00723D09">
        <w:t>English-sp</w:t>
      </w:r>
      <w:r>
        <w:t>eaking students in Aotearoa New </w:t>
      </w:r>
      <w:r w:rsidRPr="00723D09">
        <w:t>Zealand, Australia or Canada studying Italian or Mandarin).</w:t>
      </w:r>
    </w:p>
    <w:p w14:paraId="424F2F3E" w14:textId="77777777" w:rsidR="006145A3" w:rsidRDefault="006145A3" w:rsidP="006145A3">
      <w:pPr>
        <w:pStyle w:val="Para0"/>
      </w:pPr>
      <w:r>
        <w:lastRenderedPageBreak/>
        <w:t>Thus, m</w:t>
      </w:r>
      <w:r w:rsidRPr="00CE7CB9">
        <w:t>uch secon</w:t>
      </w:r>
      <w:r>
        <w:t>d-</w:t>
      </w:r>
      <w:r w:rsidRPr="00CE7CB9">
        <w:t>language learning research has not involved Indigenous student cohorts</w:t>
      </w:r>
      <w:r>
        <w:t xml:space="preserve"> and, for this reason, </w:t>
      </w:r>
      <w:r w:rsidRPr="00CE7CB9">
        <w:t>care should be exercised in over-generalising such findings</w:t>
      </w:r>
      <w:r>
        <w:t>.</w:t>
      </w:r>
    </w:p>
    <w:tbl>
      <w:tblPr>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6145A3" w:rsidRPr="00E2226B" w14:paraId="6DEF0501" w14:textId="77777777" w:rsidTr="003E4CEC">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72D432CA" w14:textId="1B2E11B1" w:rsidR="006145A3" w:rsidRDefault="006145A3" w:rsidP="003E4CEC">
            <w:pPr>
              <w:pStyle w:val="Caption"/>
            </w:pPr>
            <w:r w:rsidRPr="00B44A50">
              <w:t>Box</w:t>
            </w:r>
            <w:r>
              <w:t> </w:t>
            </w:r>
            <w:r>
              <w:rPr>
                <w:noProof/>
              </w:rPr>
              <w:fldChar w:fldCharType="begin"/>
            </w:r>
            <w:r>
              <w:rPr>
                <w:noProof/>
              </w:rPr>
              <w:instrText xml:space="preserve"> STYLEREF 1 \s </w:instrText>
            </w:r>
            <w:r>
              <w:rPr>
                <w:noProof/>
              </w:rPr>
              <w:fldChar w:fldCharType="separate"/>
            </w:r>
            <w:r w:rsidR="00CA5B8D">
              <w:rPr>
                <w:noProof/>
              </w:rPr>
              <w:t>5</w:t>
            </w:r>
            <w:r>
              <w:rPr>
                <w:noProof/>
              </w:rPr>
              <w:fldChar w:fldCharType="end"/>
            </w:r>
            <w:r>
              <w:t>.</w:t>
            </w:r>
            <w:r>
              <w:rPr>
                <w:noProof/>
              </w:rPr>
              <w:fldChar w:fldCharType="begin"/>
            </w:r>
            <w:r>
              <w:rPr>
                <w:noProof/>
              </w:rPr>
              <w:instrText xml:space="preserve"> SEQ Box \* ARABIC \s 1 </w:instrText>
            </w:r>
            <w:r>
              <w:rPr>
                <w:noProof/>
              </w:rPr>
              <w:fldChar w:fldCharType="separate"/>
            </w:r>
            <w:r w:rsidR="00CA5B8D">
              <w:rPr>
                <w:noProof/>
              </w:rPr>
              <w:t>4</w:t>
            </w:r>
            <w:r>
              <w:rPr>
                <w:noProof/>
              </w:rPr>
              <w:fldChar w:fldCharType="end"/>
            </w:r>
            <w:r>
              <w:t xml:space="preserve">. </w:t>
            </w:r>
            <w:r w:rsidRPr="00D43D51">
              <w:t xml:space="preserve">Contrasting Indigenous and immigrant </w:t>
            </w:r>
            <w:r w:rsidR="00802DDB">
              <w:t xml:space="preserve">students’ </w:t>
            </w:r>
            <w:r w:rsidRPr="00D43D51">
              <w:t>learning the national language (English/French) as their additional/second language</w:t>
            </w:r>
          </w:p>
          <w:p w14:paraId="51AD6458" w14:textId="5F89FFC4" w:rsidR="006145A3" w:rsidRDefault="00802DDB" w:rsidP="003E4CEC">
            <w:pPr>
              <w:pStyle w:val="Para0"/>
            </w:pPr>
            <w:r>
              <w:t xml:space="preserve">For </w:t>
            </w:r>
            <w:r w:rsidR="006145A3">
              <w:t xml:space="preserve">Indigenous students </w:t>
            </w:r>
            <w:r>
              <w:t xml:space="preserve">who </w:t>
            </w:r>
            <w:r w:rsidR="006145A3">
              <w:t>live in communities where their own mother tongue is the everyday, “socially-dominant” language, the national language</w:t>
            </w:r>
            <w:r>
              <w:t xml:space="preserve"> does not fill the same function that it does in many other parts of the country</w:t>
            </w:r>
            <w:r w:rsidR="006145A3">
              <w:t xml:space="preserve">. These are typically remote communities, but urban settings cannot be discounted </w:t>
            </w:r>
            <w:sdt>
              <w:sdtPr>
                <w:id w:val="1153643711"/>
                <w:citation/>
              </w:sdtPr>
              <w:sdtEndPr/>
              <w:sdtContent>
                <w:r w:rsidR="00075A4D">
                  <w:fldChar w:fldCharType="begin"/>
                </w:r>
                <w:r w:rsidR="00075A4D">
                  <w:instrText xml:space="preserve">CITATION CrossRef_aAgbkyS0iKBO9bq__BWT39Q \l 2057 </w:instrText>
                </w:r>
                <w:r w:rsidR="00075A4D">
                  <w:fldChar w:fldCharType="separate"/>
                </w:r>
                <w:r w:rsidR="00075A4D" w:rsidRPr="00075A4D">
                  <w:rPr>
                    <w:noProof/>
                  </w:rPr>
                  <w:t>(</w:t>
                </w:r>
                <w:bookmarkStart w:id="202" w:name="CrossRef_aAgbkyS0iKBO9bq__BWT39Q_133"/>
                <w:r w:rsidR="00075A4D" w:rsidRPr="00075A4D">
                  <w:rPr>
                    <w:noProof/>
                  </w:rPr>
                  <w:t>Carter, Angelo and Hudson, 2019</w:t>
                </w:r>
                <w:r w:rsidR="00075A4D" w:rsidRPr="00075A4D">
                  <w:rPr>
                    <w:noProof/>
                    <w:vertAlign w:val="subscript"/>
                  </w:rPr>
                  <w:t>[133]</w:t>
                </w:r>
                <w:r w:rsidR="00075A4D" w:rsidRPr="00075A4D">
                  <w:rPr>
                    <w:noProof/>
                  </w:rPr>
                  <w:t>)</w:t>
                </w:r>
                <w:bookmarkEnd w:id="202"/>
                <w:r w:rsidR="00075A4D">
                  <w:fldChar w:fldCharType="end"/>
                </w:r>
              </w:sdtContent>
            </w:sdt>
            <w:r w:rsidR="006145A3">
              <w:t xml:space="preserve">. These Indigenous language speaking situations resemble “foreign language learning” in that the </w:t>
            </w:r>
            <w:r>
              <w:t xml:space="preserve">national language is a </w:t>
            </w:r>
            <w:r w:rsidR="006145A3">
              <w:t xml:space="preserve">target language </w:t>
            </w:r>
            <w:r>
              <w:t xml:space="preserve">to be learned, but it </w:t>
            </w:r>
            <w:r w:rsidR="006145A3">
              <w:t>is hardly heard or used outside the classroom. (Many immigrant children encounter situations where they are, outside of their family, surrounded by the national language in both informal and formal settings).</w:t>
            </w:r>
          </w:p>
          <w:p w14:paraId="03EF72A4" w14:textId="68F386E7" w:rsidR="006145A3" w:rsidRDefault="006145A3" w:rsidP="003E4CEC">
            <w:pPr>
              <w:pStyle w:val="Para0"/>
            </w:pPr>
            <w:r>
              <w:t xml:space="preserve">Many </w:t>
            </w:r>
            <w:r w:rsidR="00802DDB">
              <w:t>Indigenous students do not experience</w:t>
            </w:r>
            <w:r>
              <w:t xml:space="preserve"> mother tongue-based education in their own Indigenous language and nor have their families</w:t>
            </w:r>
            <w:r w:rsidR="00802DDB">
              <w:t xml:space="preserve"> experienced this</w:t>
            </w:r>
            <w:r>
              <w:t>. Literacy, numeracy and other school subjects have not been learned formally in the classroom or informally outside the classroom in their own language. (</w:t>
            </w:r>
            <w:r w:rsidR="00802DDB">
              <w:t xml:space="preserve">Some </w:t>
            </w:r>
            <w:r>
              <w:t xml:space="preserve">immigrant children </w:t>
            </w:r>
            <w:r w:rsidR="00802DDB">
              <w:t xml:space="preserve">and </w:t>
            </w:r>
            <w:r>
              <w:t>their families have experienced mother tongue education and/or have accessible school resources in their language).</w:t>
            </w:r>
          </w:p>
          <w:p w14:paraId="140DBBEC" w14:textId="50D4CA43" w:rsidR="006145A3" w:rsidRPr="00775FF9" w:rsidRDefault="006145A3" w:rsidP="00802DDB">
            <w:pPr>
              <w:pStyle w:val="Para0"/>
            </w:pPr>
            <w:r>
              <w:t xml:space="preserve">Many </w:t>
            </w:r>
            <w:r w:rsidR="00802DDB">
              <w:t xml:space="preserve">Indigenous students </w:t>
            </w:r>
            <w:r>
              <w:t>are submersed in a national language curricu</w:t>
            </w:r>
            <w:r w:rsidR="00802DDB">
              <w:t>lum, with neither mother tongue-</w:t>
            </w:r>
            <w:r>
              <w:t>based learning nor second language pedagogy. Sometimes students have complex new Indigenous (contact) language backgrounds which are less visible, but even in traditional language speaking communities students' language backgrounds and language needs are overlooked. (</w:t>
            </w:r>
            <w:r w:rsidR="00802DDB">
              <w:t xml:space="preserve">Some </w:t>
            </w:r>
            <w:r>
              <w:t xml:space="preserve">immigrant children receive second language tuition and their second language development is monitored). </w:t>
            </w:r>
          </w:p>
        </w:tc>
      </w:tr>
    </w:tbl>
    <w:p w14:paraId="059FE104" w14:textId="64BE060D" w:rsidR="006145A3" w:rsidRPr="00C66070" w:rsidRDefault="006145A3" w:rsidP="006145A3">
      <w:pPr>
        <w:pStyle w:val="Para0"/>
      </w:pPr>
      <w:r w:rsidRPr="00CE7CB9">
        <w:t xml:space="preserve">Speaking a second language involves pragmatic or communicative competence (knowledge) as well as linguistic or organisational competence (grammatical knowledge) </w:t>
      </w:r>
      <w:sdt>
        <w:sdtPr>
          <w:id w:val="909279044"/>
          <w:citation/>
        </w:sdtPr>
        <w:sdtEndPr/>
        <w:sdtContent>
          <w:r w:rsidR="00075A4D">
            <w:fldChar w:fldCharType="begin"/>
          </w:r>
          <w:r w:rsidR="00075A4D">
            <w:instrText xml:space="preserve"> CITATION Bac90 \l 2057  \m Sav82</w:instrText>
          </w:r>
          <w:r w:rsidR="00075A4D">
            <w:fldChar w:fldCharType="separate"/>
          </w:r>
          <w:bookmarkStart w:id="203" w:name="Sav82_135"/>
          <w:r w:rsidR="00075A4D" w:rsidRPr="00075A4D">
            <w:rPr>
              <w:noProof/>
            </w:rPr>
            <w:t>(Backman, 1990</w:t>
          </w:r>
          <w:r w:rsidR="00075A4D" w:rsidRPr="00075A4D">
            <w:rPr>
              <w:noProof/>
              <w:vertAlign w:val="subscript"/>
            </w:rPr>
            <w:t>[134]</w:t>
          </w:r>
          <w:r w:rsidR="00075A4D" w:rsidRPr="00075A4D">
            <w:rPr>
              <w:noProof/>
            </w:rPr>
            <w:t>; Saville-Troike, 1982</w:t>
          </w:r>
          <w:r w:rsidR="00075A4D" w:rsidRPr="00075A4D">
            <w:rPr>
              <w:noProof/>
              <w:vertAlign w:val="subscript"/>
            </w:rPr>
            <w:t>[135]</w:t>
          </w:r>
          <w:r w:rsidR="00075A4D" w:rsidRPr="00075A4D">
            <w:rPr>
              <w:noProof/>
            </w:rPr>
            <w:t>)</w:t>
          </w:r>
          <w:bookmarkEnd w:id="203"/>
          <w:r w:rsidR="00075A4D">
            <w:fldChar w:fldCharType="end"/>
          </w:r>
        </w:sdtContent>
      </w:sdt>
      <w:r w:rsidRPr="00CE7CB9">
        <w:t xml:space="preserve">. Pragmatic or communicative competence includes </w:t>
      </w:r>
      <w:r w:rsidRPr="00C66070">
        <w:t xml:space="preserve">knowing what to say when, different ways to say things to different people in a variety of contexts, </w:t>
      </w:r>
      <w:r>
        <w:t>such as</w:t>
      </w:r>
      <w:r w:rsidRPr="00C66070">
        <w:t xml:space="preserve"> what is considered polite </w:t>
      </w:r>
      <w:r>
        <w:t xml:space="preserve">and what is </w:t>
      </w:r>
      <w:r w:rsidRPr="00C66070">
        <w:t>formal v</w:t>
      </w:r>
      <w:r>
        <w:t>ersu</w:t>
      </w:r>
      <w:r w:rsidRPr="00C66070">
        <w:t xml:space="preserve">s casual, and more. Organisational or linguistic competence is knowing the words, meanings and the rules for putting together phrases and sentence types in the language. </w:t>
      </w:r>
    </w:p>
    <w:p w14:paraId="61880E6C" w14:textId="77777777" w:rsidR="006145A3" w:rsidRPr="00C66070" w:rsidRDefault="006145A3" w:rsidP="006145A3">
      <w:pPr>
        <w:pStyle w:val="Para0"/>
      </w:pPr>
      <w:r w:rsidRPr="00C66070">
        <w:t xml:space="preserve">There are some widely accepted tenets of </w:t>
      </w:r>
      <w:r w:rsidRPr="00861FB9">
        <w:t>additional/second language</w:t>
      </w:r>
      <w:r w:rsidRPr="00C66070">
        <w:t xml:space="preserve"> acquisition, despite different contexts of learning. These include the path of learning by an individual and the role of transfer of </w:t>
      </w:r>
      <w:r w:rsidRPr="00B87DD2">
        <w:t>mother tongue/first language</w:t>
      </w:r>
      <w:r w:rsidRPr="00C66070">
        <w:t xml:space="preserve"> knowledge, and the idea that </w:t>
      </w:r>
      <w:r>
        <w:t>an individual's “</w:t>
      </w:r>
      <w:r w:rsidRPr="00C66070">
        <w:t>errors</w:t>
      </w:r>
      <w:r>
        <w:t>”</w:t>
      </w:r>
      <w:r w:rsidRPr="00C66070">
        <w:t xml:space="preserve"> in the </w:t>
      </w:r>
      <w:r w:rsidRPr="00861FB9">
        <w:t>additional/second language</w:t>
      </w:r>
      <w:r w:rsidRPr="00C66070">
        <w:t xml:space="preserve"> show that person's learning progress. </w:t>
      </w:r>
    </w:p>
    <w:p w14:paraId="3B9E3960" w14:textId="0232B324" w:rsidR="006145A3" w:rsidRPr="00C66070" w:rsidRDefault="006145A3" w:rsidP="006145A3">
      <w:pPr>
        <w:pStyle w:val="Para0"/>
      </w:pPr>
      <w:r w:rsidRPr="00C66070">
        <w:t xml:space="preserve">An individual </w:t>
      </w:r>
      <w:r w:rsidRPr="00861FB9">
        <w:t>additional/second language</w:t>
      </w:r>
      <w:r w:rsidRPr="00F777FC">
        <w:t xml:space="preserve"> </w:t>
      </w:r>
      <w:r w:rsidRPr="00C66070">
        <w:t xml:space="preserve">learner typically transfers some </w:t>
      </w:r>
      <w:r w:rsidRPr="00B87DD2">
        <w:t>mother tongue/first language</w:t>
      </w:r>
      <w:r w:rsidRPr="00C66070">
        <w:t xml:space="preserve"> properties </w:t>
      </w:r>
      <w:r>
        <w:t>to</w:t>
      </w:r>
      <w:r w:rsidRPr="00C66070">
        <w:t xml:space="preserve"> their </w:t>
      </w:r>
      <w:r w:rsidRPr="00861FB9">
        <w:t>additional/second language</w:t>
      </w:r>
      <w:r w:rsidRPr="00C66070">
        <w:t xml:space="preserve">, especially in the early stages of learning. </w:t>
      </w:r>
      <w:r>
        <w:t>A</w:t>
      </w:r>
      <w:r w:rsidRPr="00861FB9">
        <w:t>dditional/second language</w:t>
      </w:r>
      <w:r w:rsidRPr="00C66070">
        <w:t xml:space="preserve"> learners </w:t>
      </w:r>
      <w:r>
        <w:t xml:space="preserve">may </w:t>
      </w:r>
      <w:r w:rsidRPr="00C66070">
        <w:t xml:space="preserve">devise an independent system that is not the same as either </w:t>
      </w:r>
      <w:r w:rsidR="00802DDB">
        <w:t xml:space="preserve">the </w:t>
      </w:r>
      <w:r w:rsidRPr="00B87DD2">
        <w:t>mother tongue/first language</w:t>
      </w:r>
      <w:r w:rsidRPr="00C66070">
        <w:t xml:space="preserve"> or </w:t>
      </w:r>
      <w:r w:rsidR="00802DDB">
        <w:t xml:space="preserve">the </w:t>
      </w:r>
      <w:r w:rsidRPr="00861FB9">
        <w:t>additional/second language</w:t>
      </w:r>
      <w:r w:rsidRPr="00C66070">
        <w:t xml:space="preserve">, called an </w:t>
      </w:r>
      <w:r w:rsidRPr="00AE316A">
        <w:t>interlanguage (</w:t>
      </w:r>
      <w:r w:rsidRPr="005C35BB">
        <w:t>Selinker, 1972</w:t>
      </w:r>
      <w:r w:rsidRPr="00AE316A">
        <w:t xml:space="preserve">). </w:t>
      </w:r>
      <w:r w:rsidRPr="00C66070">
        <w:t xml:space="preserve">As their learning progresses their speech takes on more of the target </w:t>
      </w:r>
      <w:r w:rsidRPr="00861FB9">
        <w:t>additional/second language</w:t>
      </w:r>
      <w:r w:rsidRPr="00C66070">
        <w:t xml:space="preserve"> features and shows fewer interlanguage and </w:t>
      </w:r>
      <w:r w:rsidRPr="00B87DD2">
        <w:t>mother tongue/first language</w:t>
      </w:r>
      <w:r w:rsidRPr="00AE316A">
        <w:t xml:space="preserve"> </w:t>
      </w:r>
      <w:r w:rsidRPr="00C66070">
        <w:t xml:space="preserve">features. </w:t>
      </w:r>
      <w:r>
        <w:t>L</w:t>
      </w:r>
      <w:r w:rsidRPr="00C66070">
        <w:t xml:space="preserve">earners are actively forming hypotheses about </w:t>
      </w:r>
      <w:r w:rsidRPr="00861FB9">
        <w:t>additional/second language</w:t>
      </w:r>
      <w:r w:rsidRPr="00C66070">
        <w:t xml:space="preserve"> patterns and rules as they progress. Learner errors are indications of </w:t>
      </w:r>
      <w:r>
        <w:t>their language</w:t>
      </w:r>
      <w:r w:rsidRPr="00C66070">
        <w:t xml:space="preserve"> development </w:t>
      </w:r>
      <w:sdt>
        <w:sdtPr>
          <w:id w:val="390238397"/>
          <w:citation/>
        </w:sdtPr>
        <w:sdtEndPr/>
        <w:sdtContent>
          <w:r w:rsidR="00113C8E">
            <w:fldChar w:fldCharType="begin"/>
          </w:r>
          <w:r w:rsidR="00113C8E">
            <w:instrText xml:space="preserve"> CITATION Cor75 \l 2057 </w:instrText>
          </w:r>
          <w:r w:rsidR="00113C8E">
            <w:fldChar w:fldCharType="separate"/>
          </w:r>
          <w:r w:rsidR="00113C8E" w:rsidRPr="00113C8E">
            <w:rPr>
              <w:noProof/>
            </w:rPr>
            <w:t>(</w:t>
          </w:r>
          <w:bookmarkStart w:id="204" w:name="Cor75_136"/>
          <w:r w:rsidR="00113C8E" w:rsidRPr="00113C8E">
            <w:rPr>
              <w:noProof/>
            </w:rPr>
            <w:t>Corder, 1975</w:t>
          </w:r>
          <w:r w:rsidR="00113C8E" w:rsidRPr="00113C8E">
            <w:rPr>
              <w:noProof/>
              <w:vertAlign w:val="subscript"/>
            </w:rPr>
            <w:t>[136]</w:t>
          </w:r>
          <w:r w:rsidR="00113C8E" w:rsidRPr="00113C8E">
            <w:rPr>
              <w:noProof/>
            </w:rPr>
            <w:t>)</w:t>
          </w:r>
          <w:bookmarkEnd w:id="204"/>
          <w:r w:rsidR="00113C8E">
            <w:fldChar w:fldCharType="end"/>
          </w:r>
        </w:sdtContent>
      </w:sdt>
      <w:r w:rsidRPr="00C66070">
        <w:t xml:space="preserve">, and </w:t>
      </w:r>
      <w:r w:rsidR="00802DDB">
        <w:t xml:space="preserve">reflect </w:t>
      </w:r>
      <w:r w:rsidRPr="00C66070">
        <w:t xml:space="preserve">their </w:t>
      </w:r>
      <w:r w:rsidR="00802DDB">
        <w:t xml:space="preserve">current </w:t>
      </w:r>
      <w:r w:rsidRPr="00C66070">
        <w:t xml:space="preserve">analysis of </w:t>
      </w:r>
      <w:r w:rsidRPr="00861FB9">
        <w:t>additional/second language</w:t>
      </w:r>
      <w:r w:rsidRPr="00F777FC">
        <w:t xml:space="preserve"> </w:t>
      </w:r>
      <w:r w:rsidRPr="00C66070">
        <w:t xml:space="preserve">input. </w:t>
      </w:r>
    </w:p>
    <w:p w14:paraId="400BE02E" w14:textId="77777777" w:rsidR="006145A3" w:rsidRPr="00C66070" w:rsidRDefault="006145A3" w:rsidP="006145A3">
      <w:pPr>
        <w:pStyle w:val="Para0"/>
      </w:pPr>
      <w:r w:rsidRPr="00C66070">
        <w:t xml:space="preserve">For classroom assessment purposes, </w:t>
      </w:r>
      <w:r w:rsidRPr="00861FB9">
        <w:t>additional/second language</w:t>
      </w:r>
      <w:r w:rsidRPr="00C66070">
        <w:t xml:space="preserve"> learning can be conceptualised as a journey, and learners can be mapped according to whether they are in earlier or later stages. </w:t>
      </w:r>
      <w:r>
        <w:t>A</w:t>
      </w:r>
      <w:r w:rsidRPr="00C66070">
        <w:t xml:space="preserve">ssessment </w:t>
      </w:r>
      <w:r w:rsidRPr="00C66070">
        <w:lastRenderedPageBreak/>
        <w:t xml:space="preserve">tools often consider </w:t>
      </w:r>
      <w:r w:rsidRPr="00861FB9">
        <w:t>additional/second language</w:t>
      </w:r>
      <w:r w:rsidRPr="00F777FC">
        <w:t xml:space="preserve"> </w:t>
      </w:r>
      <w:r>
        <w:t>learning in terms of “</w:t>
      </w:r>
      <w:r w:rsidRPr="00C66070">
        <w:t>proficiency</w:t>
      </w:r>
      <w:r>
        <w:t>”</w:t>
      </w:r>
      <w:r w:rsidRPr="00C66070">
        <w:t xml:space="preserve">, a holistic view of how much </w:t>
      </w:r>
      <w:r w:rsidRPr="00861FB9">
        <w:t>additional/second language</w:t>
      </w:r>
      <w:r w:rsidRPr="00C66070">
        <w:t xml:space="preserve"> learners have amassed, assessed by what they can do with it across the entire classroom curriculum context, as evidenced through samples and observations of classroom work. </w:t>
      </w:r>
    </w:p>
    <w:p w14:paraId="22A4296B" w14:textId="77777777" w:rsidR="006145A3" w:rsidRPr="00C66070" w:rsidRDefault="006145A3" w:rsidP="006145A3">
      <w:pPr>
        <w:pStyle w:val="Para0"/>
      </w:pPr>
      <w:r>
        <w:t>This general classroom-</w:t>
      </w:r>
      <w:r w:rsidRPr="00C66070">
        <w:t xml:space="preserve">based, </w:t>
      </w:r>
      <w:r w:rsidRPr="00861FB9">
        <w:t>additional/second language</w:t>
      </w:r>
      <w:r w:rsidRPr="00C66070">
        <w:t xml:space="preserve"> proficiency assessment differs somewhat from typical school</w:t>
      </w:r>
      <w:r>
        <w:t>-based “language subjects”</w:t>
      </w:r>
      <w:r w:rsidRPr="00C66070">
        <w:t xml:space="preserve">, foreign or Indigenous, which are teaching a target language as the core function of their </w:t>
      </w:r>
      <w:r>
        <w:t>programme.</w:t>
      </w:r>
      <w:r w:rsidRPr="00C66070">
        <w:t xml:space="preserve"> For instance, assessment of student learning for a discrete </w:t>
      </w:r>
      <w:r>
        <w:t>“</w:t>
      </w:r>
      <w:r w:rsidRPr="00C66070">
        <w:t>language subject</w:t>
      </w:r>
      <w:r>
        <w:t>”</w:t>
      </w:r>
      <w:r w:rsidRPr="00C66070">
        <w:t xml:space="preserve"> is often more tightly focused on the taught target language. </w:t>
      </w:r>
    </w:p>
    <w:p w14:paraId="0ED5A625" w14:textId="127EBB08" w:rsidR="006145A3" w:rsidRPr="00CE7CB9" w:rsidRDefault="006145A3" w:rsidP="006145A3">
      <w:pPr>
        <w:pStyle w:val="Para0"/>
      </w:pPr>
      <w:r w:rsidRPr="00C66070">
        <w:t>Both kinds of second language learning context (second language across the clas</w:t>
      </w:r>
      <w:r>
        <w:t xml:space="preserve">sroom curriculum versus </w:t>
      </w:r>
      <w:r w:rsidR="00802DDB">
        <w:t xml:space="preserve">a </w:t>
      </w:r>
      <w:r>
        <w:t>target “language subject”</w:t>
      </w:r>
      <w:r w:rsidRPr="00C66070">
        <w:t>) usually assess student language l</w:t>
      </w:r>
      <w:r>
        <w:t>earning according to their “macro skills”</w:t>
      </w:r>
      <w:r w:rsidRPr="00C66070">
        <w:t xml:space="preserve"> in productive and receptive modes in oral language (speaking, listening comprehension) and written language (writing, reading comprehension). This range of assessment is used because students' skills do not necessarily progress at the same rate in all </w:t>
      </w:r>
      <w:r w:rsidR="00802DDB">
        <w:t>macro</w:t>
      </w:r>
      <w:r w:rsidRPr="00C66070">
        <w:t>skills.</w:t>
      </w:r>
      <w:r>
        <w:t xml:space="preserve"> Assessment also differs depending on whether the objective of the </w:t>
      </w:r>
      <w:r w:rsidRPr="00C66070">
        <w:t>second language learning</w:t>
      </w:r>
      <w:r>
        <w:t xml:space="preserve"> is </w:t>
      </w:r>
      <w:r w:rsidRPr="00CE7CB9">
        <w:t>academic purposes</w:t>
      </w:r>
      <w:r>
        <w:t xml:space="preserve"> or </w:t>
      </w:r>
      <w:r w:rsidRPr="00CE7CB9">
        <w:t xml:space="preserve">everyday, social purposes </w:t>
      </w:r>
      <w:sdt>
        <w:sdtPr>
          <w:id w:val="923231149"/>
          <w:citation/>
        </w:sdtPr>
        <w:sdtEndPr/>
        <w:sdtContent>
          <w:r w:rsidR="00113C8E">
            <w:fldChar w:fldCharType="begin"/>
          </w:r>
          <w:r w:rsidR="00113C8E">
            <w:instrText xml:space="preserve"> CITATION Cum91 \l 2057 </w:instrText>
          </w:r>
          <w:r w:rsidR="00113C8E">
            <w:fldChar w:fldCharType="separate"/>
          </w:r>
          <w:r w:rsidR="00113C8E" w:rsidRPr="00113C8E">
            <w:rPr>
              <w:noProof/>
            </w:rPr>
            <w:t>(</w:t>
          </w:r>
          <w:bookmarkStart w:id="205" w:name="Cum91_137"/>
          <w:r w:rsidR="00113C8E" w:rsidRPr="00113C8E">
            <w:rPr>
              <w:noProof/>
            </w:rPr>
            <w:t>Cummins, 1991</w:t>
          </w:r>
          <w:r w:rsidR="00113C8E" w:rsidRPr="00113C8E">
            <w:rPr>
              <w:noProof/>
              <w:vertAlign w:val="subscript"/>
            </w:rPr>
            <w:t>[137]</w:t>
          </w:r>
          <w:r w:rsidR="00113C8E" w:rsidRPr="00113C8E">
            <w:rPr>
              <w:noProof/>
            </w:rPr>
            <w:t>)</w:t>
          </w:r>
          <w:bookmarkEnd w:id="205"/>
          <w:r w:rsidR="00113C8E">
            <w:fldChar w:fldCharType="end"/>
          </w:r>
        </w:sdtContent>
      </w:sdt>
      <w:r w:rsidRPr="00CE7CB9">
        <w:t xml:space="preserve">. </w:t>
      </w:r>
      <w:r>
        <w:t xml:space="preserve">While </w:t>
      </w:r>
      <w:r w:rsidRPr="00CE7CB9">
        <w:t xml:space="preserve">it is </w:t>
      </w:r>
      <w:r>
        <w:t xml:space="preserve">fundamentally </w:t>
      </w:r>
      <w:r w:rsidRPr="00CE7CB9">
        <w:t xml:space="preserve">the same language that is drawn upon for both of these skill areas, the </w:t>
      </w:r>
      <w:r w:rsidR="00802DDB">
        <w:t>kinds of patterns</w:t>
      </w:r>
      <w:r w:rsidRPr="00CE7CB9">
        <w:t xml:space="preserve"> </w:t>
      </w:r>
      <w:r w:rsidR="00802DDB">
        <w:t xml:space="preserve">and their relative frequency </w:t>
      </w:r>
      <w:r w:rsidRPr="00CE7CB9">
        <w:t xml:space="preserve">differ across these contexts. </w:t>
      </w:r>
    </w:p>
    <w:p w14:paraId="35539CBA" w14:textId="0FEA098B" w:rsidR="006145A3" w:rsidRPr="00CE7CB9" w:rsidRDefault="006145A3" w:rsidP="006145A3">
      <w:pPr>
        <w:pStyle w:val="Para0"/>
      </w:pPr>
      <w:r w:rsidRPr="00CE7CB9">
        <w:t xml:space="preserve">In many Indigenous settings, the academic/social language </w:t>
      </w:r>
      <w:r w:rsidR="00802DDB">
        <w:t xml:space="preserve">binary </w:t>
      </w:r>
      <w:r w:rsidRPr="00CE7CB9">
        <w:t>does not work straightforwardly:</w:t>
      </w:r>
    </w:p>
    <w:p w14:paraId="63B069C1" w14:textId="77777777" w:rsidR="006145A3" w:rsidRPr="00723D09" w:rsidRDefault="006145A3" w:rsidP="006145A3">
      <w:pPr>
        <w:pStyle w:val="BulletedList"/>
      </w:pPr>
      <w:r w:rsidRPr="00723D09">
        <w:t>Where an Indigenous language is spoken as the everyday language of the entire community, the national language (their additional/second language) is not used for everyday social purposes. (This has no bearing on the fact that Indigenous children can learn the language, in the manner of a foreign language, as long as it is taught well,</w:t>
      </w:r>
      <w:r>
        <w:t xml:space="preserve"> respecting their mother tongue</w:t>
      </w:r>
      <w:r w:rsidRPr="00723D09">
        <w:t>)</w:t>
      </w:r>
      <w:r>
        <w:t>.</w:t>
      </w:r>
      <w:r w:rsidRPr="00723D09">
        <w:t xml:space="preserve"> </w:t>
      </w:r>
    </w:p>
    <w:p w14:paraId="01D5F752" w14:textId="67D2D98B" w:rsidR="006145A3" w:rsidRPr="00723D09" w:rsidRDefault="006145A3" w:rsidP="006145A3">
      <w:pPr>
        <w:pStyle w:val="BulletedList"/>
      </w:pPr>
      <w:r w:rsidRPr="00723D09">
        <w:t>Many Indigenous languages taught in additional/second language programmes were historically excluded from education and if used to teach across the curriculum may still be develo</w:t>
      </w:r>
      <w:r>
        <w:t>ping “</w:t>
      </w:r>
      <w:r w:rsidRPr="00723D09">
        <w:t>academic</w:t>
      </w:r>
      <w:r>
        <w:t>”</w:t>
      </w:r>
      <w:r w:rsidRPr="00723D09">
        <w:t xml:space="preserve"> modes</w:t>
      </w:r>
      <w:r w:rsidR="00802DDB">
        <w:t xml:space="preserve"> in all these subject areas</w:t>
      </w:r>
      <w:r w:rsidRPr="00723D09">
        <w:t xml:space="preserve">. </w:t>
      </w:r>
      <w:r w:rsidR="00802DDB">
        <w:t xml:space="preserve">Furthermore, </w:t>
      </w:r>
      <w:r w:rsidRPr="00723D09">
        <w:t>Indigenous language communities need to decide whet</w:t>
      </w:r>
      <w:r>
        <w:t>her their culturally analogous “special purpose”</w:t>
      </w:r>
      <w:r w:rsidRPr="00723D09">
        <w:t xml:space="preserve"> language (for example ceremonial language, or university-like environmental knowledges, or advanced kinship referencing) should be targeted in their school language programme.</w:t>
      </w:r>
    </w:p>
    <w:p w14:paraId="087DAEFA" w14:textId="77777777" w:rsidR="006145A3" w:rsidRPr="00D27D14" w:rsidRDefault="006145A3" w:rsidP="006145A3">
      <w:pPr>
        <w:pStyle w:val="Para0"/>
      </w:pPr>
      <w:r w:rsidRPr="00CE7CB9">
        <w:t xml:space="preserve">To use an </w:t>
      </w:r>
      <w:r w:rsidRPr="00861FB9">
        <w:t>additional/second language</w:t>
      </w:r>
      <w:r w:rsidRPr="00CE7CB9">
        <w:t xml:space="preserve"> </w:t>
      </w:r>
      <w:r w:rsidRPr="00D27D14">
        <w:t xml:space="preserve">for school learning, particularly in the older years, students need to add specialised vocabulary and grammar patterns that are used in complex spoken and written texts. Learning an </w:t>
      </w:r>
      <w:r w:rsidRPr="00861FB9">
        <w:t>additional/second language</w:t>
      </w:r>
      <w:r w:rsidRPr="00D27D14">
        <w:t xml:space="preserve"> for academic purposes is therefore quite a lengthy, demanding process, and students' need for academic language skills might be hidden if they have an apparent ease with common, everyday social interactions. </w:t>
      </w:r>
    </w:p>
    <w:p w14:paraId="58AE6A6A" w14:textId="77777777" w:rsidR="006145A3" w:rsidRDefault="006145A3" w:rsidP="006145A3">
      <w:pPr>
        <w:pStyle w:val="Para0"/>
      </w:pPr>
      <w:r w:rsidRPr="00D27D14">
        <w:t xml:space="preserve">Rather than have their academic language skills assumed, second language learners need explicit instruction in all underlying aspects of the second language, </w:t>
      </w:r>
      <w:r>
        <w:t>including</w:t>
      </w:r>
      <w:r w:rsidRPr="00D27D14">
        <w:t xml:space="preserve"> specific elements of academic language. </w:t>
      </w:r>
    </w:p>
    <w:p w14:paraId="36353AD1" w14:textId="20DF2197" w:rsidR="006145A3" w:rsidRPr="00CE7CB9" w:rsidRDefault="006145A3" w:rsidP="006145A3">
      <w:pPr>
        <w:pStyle w:val="Para0"/>
      </w:pPr>
      <w:r w:rsidRPr="00D27D14">
        <w:t>Around 5-7</w:t>
      </w:r>
      <w:r>
        <w:t> </w:t>
      </w:r>
      <w:r w:rsidRPr="00D27D14">
        <w:t>years of second language learning</w:t>
      </w:r>
      <w:r>
        <w:t>,</w:t>
      </w:r>
      <w:r w:rsidRPr="00D27D14">
        <w:t xml:space="preserve"> includ</w:t>
      </w:r>
      <w:r>
        <w:t>ing</w:t>
      </w:r>
      <w:r w:rsidRPr="00D27D14">
        <w:t xml:space="preserve"> focused second language teaching</w:t>
      </w:r>
      <w:r>
        <w:t>,</w:t>
      </w:r>
      <w:r w:rsidRPr="00D27D14">
        <w:t xml:space="preserve"> is </w:t>
      </w:r>
      <w:r>
        <w:t xml:space="preserve">generally estimated </w:t>
      </w:r>
      <w:r w:rsidRPr="00D27D14">
        <w:t xml:space="preserve">as the length of time required to achieve high proficiency in the kind of language use needed to learn well and succeed in school </w:t>
      </w:r>
      <w:sdt>
        <w:sdtPr>
          <w:id w:val="389151308"/>
          <w:citation/>
        </w:sdtPr>
        <w:sdtEndPr/>
        <w:sdtContent>
          <w:r w:rsidR="005A6836">
            <w:fldChar w:fldCharType="begin"/>
          </w:r>
          <w:r w:rsidR="005A6836">
            <w:instrText>CITATION Sau06 \l 2057  \m Lin06 \m Col04</w:instrText>
          </w:r>
          <w:r w:rsidR="005A6836">
            <w:fldChar w:fldCharType="separate"/>
          </w:r>
          <w:bookmarkStart w:id="206" w:name="Lin06_139"/>
          <w:bookmarkStart w:id="207" w:name="Col04_140"/>
          <w:r w:rsidR="005A6836" w:rsidRPr="005A6836">
            <w:rPr>
              <w:noProof/>
            </w:rPr>
            <w:t>(</w:t>
          </w:r>
          <w:bookmarkStart w:id="208" w:name="Sau06_138"/>
          <w:r w:rsidR="005A6836" w:rsidRPr="005A6836">
            <w:rPr>
              <w:noProof/>
            </w:rPr>
            <w:t>Saunders and O’Brien, 2006</w:t>
          </w:r>
          <w:r w:rsidR="005A6836" w:rsidRPr="005A6836">
            <w:rPr>
              <w:noProof/>
              <w:vertAlign w:val="subscript"/>
            </w:rPr>
            <w:t>[138]</w:t>
          </w:r>
          <w:r w:rsidR="005A6836" w:rsidRPr="005A6836">
            <w:rPr>
              <w:noProof/>
            </w:rPr>
            <w:t xml:space="preserve">; </w:t>
          </w:r>
          <w:bookmarkEnd w:id="208"/>
          <w:r w:rsidR="005A6836" w:rsidRPr="005A6836">
            <w:rPr>
              <w:noProof/>
            </w:rPr>
            <w:t>Lindhom-Leary and Borsato, 2006</w:t>
          </w:r>
          <w:r w:rsidR="005A6836" w:rsidRPr="005A6836">
            <w:rPr>
              <w:noProof/>
              <w:vertAlign w:val="subscript"/>
            </w:rPr>
            <w:t>[139]</w:t>
          </w:r>
          <w:r w:rsidR="005A6836" w:rsidRPr="005A6836">
            <w:rPr>
              <w:noProof/>
            </w:rPr>
            <w:t>; Collier and Thomas, 2004</w:t>
          </w:r>
          <w:r w:rsidR="005A6836" w:rsidRPr="005A6836">
            <w:rPr>
              <w:noProof/>
              <w:vertAlign w:val="subscript"/>
            </w:rPr>
            <w:t>[140]</w:t>
          </w:r>
          <w:r w:rsidR="005A6836" w:rsidRPr="005A6836">
            <w:rPr>
              <w:noProof/>
            </w:rPr>
            <w:t>)</w:t>
          </w:r>
          <w:bookmarkEnd w:id="206"/>
          <w:bookmarkEnd w:id="207"/>
          <w:r w:rsidR="005A6836">
            <w:fldChar w:fldCharType="end"/>
          </w:r>
        </w:sdtContent>
      </w:sdt>
      <w:r w:rsidRPr="00CE7CB9">
        <w:t xml:space="preserve">. This </w:t>
      </w:r>
      <w:r w:rsidR="00802DDB">
        <w:t xml:space="preserve">does </w:t>
      </w:r>
      <w:r>
        <w:t xml:space="preserve">not </w:t>
      </w:r>
      <w:r w:rsidRPr="00CE7CB9">
        <w:t>mean</w:t>
      </w:r>
      <w:r>
        <w:t>,</w:t>
      </w:r>
      <w:r w:rsidRPr="00CE7CB9">
        <w:t xml:space="preserve"> </w:t>
      </w:r>
      <w:r>
        <w:t xml:space="preserve">however, </w:t>
      </w:r>
      <w:r w:rsidRPr="00CE7CB9">
        <w:t>that students n</w:t>
      </w:r>
      <w:r>
        <w:t>eed to learn a language for 5-7 </w:t>
      </w:r>
      <w:r w:rsidRPr="00CE7CB9">
        <w:t xml:space="preserve">years before they can apply it in the classroom. It might take this long for students to be fully independent in their </w:t>
      </w:r>
      <w:r>
        <w:t>second language</w:t>
      </w:r>
      <w:r w:rsidRPr="00CE7CB9">
        <w:t xml:space="preserve"> in academic contexts, but students can engage in learning at quite early levels of proficiency </w:t>
      </w:r>
      <w:r w:rsidR="00802DDB">
        <w:t xml:space="preserve">when well supported by </w:t>
      </w:r>
      <w:r w:rsidRPr="00CE7CB9">
        <w:t>skilled second language pedagogy and scaffolding.</w:t>
      </w:r>
    </w:p>
    <w:p w14:paraId="331E3812" w14:textId="1C2FF900" w:rsidR="006145A3" w:rsidRDefault="00802DDB" w:rsidP="006145A3">
      <w:pPr>
        <w:pStyle w:val="Para0"/>
      </w:pPr>
      <w:r>
        <w:t>The</w:t>
      </w:r>
      <w:r w:rsidR="006145A3" w:rsidRPr="00CE7CB9">
        <w:t xml:space="preserve"> ballpark </w:t>
      </w:r>
      <w:r w:rsidR="006145A3">
        <w:t>estimate</w:t>
      </w:r>
      <w:r w:rsidR="006145A3" w:rsidRPr="00CE7CB9">
        <w:t xml:space="preserve"> </w:t>
      </w:r>
      <w:r>
        <w:t xml:space="preserve">of 5-7 years (above) </w:t>
      </w:r>
      <w:r w:rsidR="006145A3" w:rsidRPr="00CE7CB9">
        <w:t>is mostly derived from immigrant learners of English in urban, social majority English</w:t>
      </w:r>
      <w:r>
        <w:t>-speaking</w:t>
      </w:r>
      <w:r w:rsidR="006145A3" w:rsidRPr="00CE7CB9">
        <w:t xml:space="preserve"> contexts, where students are recognised as second language learners and receive</w:t>
      </w:r>
      <w:r>
        <w:t xml:space="preserve"> support accordingly</w:t>
      </w:r>
      <w:r w:rsidR="006145A3" w:rsidRPr="00CE7CB9">
        <w:t xml:space="preserve">. </w:t>
      </w:r>
      <w:r w:rsidR="006145A3" w:rsidRPr="00CE7CB9">
        <w:rPr>
          <w:lang w:val="en-US"/>
        </w:rPr>
        <w:t xml:space="preserve">Interestingly, the </w:t>
      </w:r>
      <w:r w:rsidR="006145A3" w:rsidRPr="00D27D14">
        <w:rPr>
          <w:lang w:val="en-US"/>
        </w:rPr>
        <w:t xml:space="preserve">best predictor of </w:t>
      </w:r>
      <w:r w:rsidR="006145A3">
        <w:t>second language</w:t>
      </w:r>
      <w:r w:rsidR="006145A3" w:rsidRPr="00CE7CB9">
        <w:t xml:space="preserve"> </w:t>
      </w:r>
      <w:r w:rsidR="006145A3" w:rsidRPr="00D27D14">
        <w:rPr>
          <w:lang w:val="en-US"/>
        </w:rPr>
        <w:t xml:space="preserve">achievement </w:t>
      </w:r>
      <w:r w:rsidR="006145A3">
        <w:rPr>
          <w:lang w:val="en-US"/>
        </w:rPr>
        <w:t>is</w:t>
      </w:r>
      <w:r w:rsidR="006145A3" w:rsidRPr="00D27D14">
        <w:rPr>
          <w:lang w:val="en-US"/>
        </w:rPr>
        <w:t xml:space="preserve"> the number of years spent learning in school in </w:t>
      </w:r>
      <w:r w:rsidR="006145A3">
        <w:rPr>
          <w:lang w:val="en-US"/>
        </w:rPr>
        <w:t>a child’s</w:t>
      </w:r>
      <w:r w:rsidR="006145A3" w:rsidRPr="00D27D14">
        <w:rPr>
          <w:lang w:val="en-US"/>
        </w:rPr>
        <w:t xml:space="preserve"> </w:t>
      </w:r>
      <w:r w:rsidR="006145A3">
        <w:rPr>
          <w:lang w:val="en-US"/>
        </w:rPr>
        <w:t>mother tongue/first language</w:t>
      </w:r>
      <w:r w:rsidR="006145A3" w:rsidRPr="00D27D14">
        <w:rPr>
          <w:lang w:val="en-US"/>
        </w:rPr>
        <w:t xml:space="preserve">, particularly with </w:t>
      </w:r>
      <w:r w:rsidR="006145A3">
        <w:rPr>
          <w:lang w:val="en-US"/>
        </w:rPr>
        <w:t>first language</w:t>
      </w:r>
      <w:r w:rsidR="006145A3" w:rsidRPr="00D27D14">
        <w:rPr>
          <w:lang w:val="en-US"/>
        </w:rPr>
        <w:t xml:space="preserve"> literacy </w:t>
      </w:r>
      <w:sdt>
        <w:sdtPr>
          <w:rPr>
            <w:lang w:val="en-US"/>
          </w:rPr>
          <w:id w:val="-486702873"/>
          <w:citation/>
        </w:sdtPr>
        <w:sdtEndPr/>
        <w:sdtContent>
          <w:r w:rsidR="005A6836">
            <w:rPr>
              <w:lang w:val="en-US"/>
            </w:rPr>
            <w:fldChar w:fldCharType="begin"/>
          </w:r>
          <w:r w:rsidR="005A6836">
            <w:instrText xml:space="preserve"> CITATION MAc17 \l 2057 </w:instrText>
          </w:r>
          <w:r w:rsidR="005A6836">
            <w:rPr>
              <w:lang w:val="en-US"/>
            </w:rPr>
            <w:fldChar w:fldCharType="separate"/>
          </w:r>
          <w:r w:rsidR="005A6836" w:rsidRPr="005A6836">
            <w:rPr>
              <w:noProof/>
            </w:rPr>
            <w:t>(Macswan et al., 2017</w:t>
          </w:r>
          <w:r w:rsidR="005A6836" w:rsidRPr="005A6836">
            <w:rPr>
              <w:noProof/>
              <w:vertAlign w:val="subscript"/>
            </w:rPr>
            <w:t>[116]</w:t>
          </w:r>
          <w:r w:rsidR="005A6836" w:rsidRPr="005A6836">
            <w:rPr>
              <w:noProof/>
            </w:rPr>
            <w:t>)</w:t>
          </w:r>
          <w:r w:rsidR="005A6836">
            <w:rPr>
              <w:lang w:val="en-US"/>
            </w:rPr>
            <w:fldChar w:fldCharType="end"/>
          </w:r>
        </w:sdtContent>
      </w:sdt>
      <w:r w:rsidR="006145A3" w:rsidRPr="00CE7CB9">
        <w:rPr>
          <w:lang w:val="en-US"/>
        </w:rPr>
        <w:t>.</w:t>
      </w:r>
      <w:r w:rsidR="006145A3">
        <w:rPr>
          <w:lang w:val="en-US"/>
        </w:rPr>
        <w:t xml:space="preserve"> In addition, </w:t>
      </w:r>
      <w:r w:rsidR="006145A3" w:rsidRPr="0066041B">
        <w:t xml:space="preserve">international literature on bilingual education </w:t>
      </w:r>
      <w:r w:rsidR="006145A3" w:rsidRPr="0066041B">
        <w:lastRenderedPageBreak/>
        <w:t xml:space="preserve">suggests that a 50% minimum threshold in the target language is necessary for effective bilingual instruction </w:t>
      </w:r>
      <w:sdt>
        <w:sdtPr>
          <w:id w:val="-179429478"/>
          <w:citation/>
        </w:sdtPr>
        <w:sdtEndPr/>
        <w:sdtContent>
          <w:r w:rsidR="0023578B">
            <w:fldChar w:fldCharType="begin"/>
          </w:r>
          <w:r w:rsidR="0023578B">
            <w:instrText xml:space="preserve"> CITATION May04 \l 2057 </w:instrText>
          </w:r>
          <w:r w:rsidR="0023578B">
            <w:fldChar w:fldCharType="separate"/>
          </w:r>
          <w:r w:rsidR="0023578B" w:rsidRPr="0023578B">
            <w:rPr>
              <w:noProof/>
            </w:rPr>
            <w:t>(</w:t>
          </w:r>
          <w:bookmarkStart w:id="209" w:name="May04_141"/>
          <w:r w:rsidR="0023578B" w:rsidRPr="0023578B">
            <w:rPr>
              <w:noProof/>
            </w:rPr>
            <w:t>May, Hill and Tiakiwai, 2004</w:t>
          </w:r>
          <w:r w:rsidR="0023578B" w:rsidRPr="0023578B">
            <w:rPr>
              <w:noProof/>
              <w:vertAlign w:val="subscript"/>
            </w:rPr>
            <w:t>[141]</w:t>
          </w:r>
          <w:r w:rsidR="0023578B" w:rsidRPr="0023578B">
            <w:rPr>
              <w:noProof/>
            </w:rPr>
            <w:t>)</w:t>
          </w:r>
          <w:bookmarkEnd w:id="209"/>
          <w:r w:rsidR="0023578B">
            <w:fldChar w:fldCharType="end"/>
          </w:r>
        </w:sdtContent>
      </w:sdt>
      <w:r w:rsidR="006145A3" w:rsidRPr="0066041B">
        <w:t>.</w:t>
      </w:r>
    </w:p>
    <w:tbl>
      <w:tblPr>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6145A3" w:rsidRPr="00E2226B" w14:paraId="26933692" w14:textId="77777777" w:rsidTr="003E4CEC">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2959E3B5" w14:textId="0CCC5054" w:rsidR="006145A3" w:rsidRDefault="006145A3" w:rsidP="003E4CEC">
            <w:pPr>
              <w:pStyle w:val="Caption"/>
            </w:pPr>
            <w:r w:rsidRPr="00B44A50">
              <w:t>Box</w:t>
            </w:r>
            <w:r>
              <w:t> </w:t>
            </w:r>
            <w:r>
              <w:rPr>
                <w:noProof/>
              </w:rPr>
              <w:fldChar w:fldCharType="begin"/>
            </w:r>
            <w:r>
              <w:rPr>
                <w:noProof/>
              </w:rPr>
              <w:instrText xml:space="preserve"> STYLEREF 1 \s </w:instrText>
            </w:r>
            <w:r>
              <w:rPr>
                <w:noProof/>
              </w:rPr>
              <w:fldChar w:fldCharType="separate"/>
            </w:r>
            <w:r w:rsidR="00CA5B8D">
              <w:rPr>
                <w:noProof/>
              </w:rPr>
              <w:t>5</w:t>
            </w:r>
            <w:r>
              <w:rPr>
                <w:noProof/>
              </w:rPr>
              <w:fldChar w:fldCharType="end"/>
            </w:r>
            <w:r>
              <w:t>.</w:t>
            </w:r>
            <w:r>
              <w:rPr>
                <w:noProof/>
              </w:rPr>
              <w:fldChar w:fldCharType="begin"/>
            </w:r>
            <w:r>
              <w:rPr>
                <w:noProof/>
              </w:rPr>
              <w:instrText xml:space="preserve"> SEQ Box \* ARABIC \s 1 </w:instrText>
            </w:r>
            <w:r>
              <w:rPr>
                <w:noProof/>
              </w:rPr>
              <w:fldChar w:fldCharType="separate"/>
            </w:r>
            <w:r w:rsidR="00CA5B8D">
              <w:rPr>
                <w:noProof/>
              </w:rPr>
              <w:t>5</w:t>
            </w:r>
            <w:r>
              <w:rPr>
                <w:noProof/>
              </w:rPr>
              <w:fldChar w:fldCharType="end"/>
            </w:r>
            <w:r>
              <w:t xml:space="preserve">. </w:t>
            </w:r>
            <w:r w:rsidRPr="00495AF7">
              <w:t xml:space="preserve">Learning an Indigenous </w:t>
            </w:r>
            <w:r w:rsidR="00802DDB">
              <w:t xml:space="preserve">language </w:t>
            </w:r>
            <w:r w:rsidRPr="00495AF7">
              <w:t>as an additional language</w:t>
            </w:r>
          </w:p>
          <w:p w14:paraId="78815012" w14:textId="4A5977A5" w:rsidR="006145A3" w:rsidRDefault="006145A3" w:rsidP="003E4CEC">
            <w:pPr>
              <w:pStyle w:val="Para0"/>
            </w:pPr>
            <w:r>
              <w:t xml:space="preserve">Learning small languages (on the world scale) as an additional/second language, perhaps taught nowhere else, means there are fewer </w:t>
            </w:r>
            <w:r w:rsidR="00802DDB">
              <w:t>speakers and trained teachers, fewer</w:t>
            </w:r>
            <w:r>
              <w:t xml:space="preserve"> teaching and learning materials and lower overall community saturation (i.e. use and exposure) compared to international languages like English or French. In contrast, immigrant learners of English/French have vast numbers of speakers, teachers, language resources and opportunities for language input.</w:t>
            </w:r>
          </w:p>
          <w:p w14:paraId="13E9C105" w14:textId="02074101" w:rsidR="006145A3" w:rsidRDefault="006145A3" w:rsidP="003E4CEC">
            <w:pPr>
              <w:pStyle w:val="Para0"/>
            </w:pPr>
            <w:r>
              <w:t xml:space="preserve">Most Indigenous languages learned as additional/second languages have been marginalised by the national language of the settler-colonial society, and kept from education and most domains of public life, sometimes to the point where a language is no longer actively spoken and needs reawakening and rebuilding. These languages are therefore being developed, a little or a lot, for the purposes of classroom language teaching programmes. </w:t>
            </w:r>
            <w:r w:rsidR="00802DDB">
              <w:t>In contrast, t</w:t>
            </w:r>
            <w:r>
              <w:t>he English and French languages have been a part of their respective education systems for centuries.</w:t>
            </w:r>
          </w:p>
          <w:p w14:paraId="3883CD1A" w14:textId="77777777" w:rsidR="006145A3" w:rsidRDefault="006145A3" w:rsidP="003E4CEC">
            <w:pPr>
              <w:pStyle w:val="Para0"/>
            </w:pPr>
            <w:r>
              <w:t>Many Indigenous language communities do not have long term experience in literacy in their language</w:t>
            </w:r>
            <w:r w:rsidR="00802DDB">
              <w:t>s</w:t>
            </w:r>
            <w:r>
              <w:t xml:space="preserve"> because their language was excluded from education. This useful skill for documenting language and planning and teaching is not always readily available to Indigenous language learning programmes and may need to be developed. In contrast, immigrant learners of English </w:t>
            </w:r>
            <w:r w:rsidR="00802DDB">
              <w:t xml:space="preserve">oten </w:t>
            </w:r>
            <w:r>
              <w:t>have an abundance of literate teachers and community members, as well as language and teaching resources.</w:t>
            </w:r>
          </w:p>
          <w:p w14:paraId="099EA7AC" w14:textId="7983877C" w:rsidR="00802DDB" w:rsidRPr="00775FF9" w:rsidRDefault="00802DDB" w:rsidP="003E4CEC">
            <w:pPr>
              <w:pStyle w:val="Para0"/>
            </w:pPr>
            <w:r>
              <w:t xml:space="preserve">Supporting small Indigenous language programmes means redressing this legacy with targeted initiatives for teacher training, curriculum development and language resources. </w:t>
            </w:r>
          </w:p>
        </w:tc>
      </w:tr>
    </w:tbl>
    <w:p w14:paraId="78A144A5" w14:textId="0217DF66" w:rsidR="006145A3" w:rsidRPr="00CE7CB9" w:rsidRDefault="006145A3" w:rsidP="006145A3">
      <w:pPr>
        <w:pStyle w:val="Para0"/>
      </w:pPr>
      <w:r w:rsidRPr="00CE7CB9">
        <w:t xml:space="preserve">Students' skills in their </w:t>
      </w:r>
      <w:r w:rsidRPr="00B87DD2">
        <w:t>mother tongue/first language</w:t>
      </w:r>
      <w:r w:rsidRPr="00CE7CB9">
        <w:t xml:space="preserve"> generally have a positive influence on </w:t>
      </w:r>
      <w:r w:rsidRPr="00861FB9">
        <w:t>additional/second language</w:t>
      </w:r>
      <w:r w:rsidRPr="00CE7CB9">
        <w:t xml:space="preserve"> proficiency </w:t>
      </w:r>
      <w:sdt>
        <w:sdtPr>
          <w:id w:val="26376905"/>
          <w:citation/>
        </w:sdtPr>
        <w:sdtEndPr/>
        <w:sdtContent>
          <w:r w:rsidR="005D0F72">
            <w:fldChar w:fldCharType="begin"/>
          </w:r>
          <w:r w:rsidR="005D0F72">
            <w:instrText xml:space="preserve"> CITATION Spa09 \l 2057  \m Ree00</w:instrText>
          </w:r>
          <w:r w:rsidR="005D0F72">
            <w:fldChar w:fldCharType="separate"/>
          </w:r>
          <w:bookmarkStart w:id="210" w:name="Ree00_143"/>
          <w:r w:rsidR="005D0F72" w:rsidRPr="005D0F72">
            <w:rPr>
              <w:noProof/>
            </w:rPr>
            <w:t>(Sparks et al., 2009</w:t>
          </w:r>
          <w:r w:rsidR="005D0F72" w:rsidRPr="005D0F72">
            <w:rPr>
              <w:noProof/>
              <w:vertAlign w:val="subscript"/>
            </w:rPr>
            <w:t>[142]</w:t>
          </w:r>
          <w:r w:rsidR="005D0F72" w:rsidRPr="005D0F72">
            <w:rPr>
              <w:noProof/>
            </w:rPr>
            <w:t>; Reese et al., 2000</w:t>
          </w:r>
          <w:r w:rsidR="005D0F72" w:rsidRPr="005D0F72">
            <w:rPr>
              <w:noProof/>
              <w:vertAlign w:val="subscript"/>
            </w:rPr>
            <w:t>[143]</w:t>
          </w:r>
          <w:r w:rsidR="005D0F72" w:rsidRPr="005D0F72">
            <w:rPr>
              <w:noProof/>
            </w:rPr>
            <w:t>)</w:t>
          </w:r>
          <w:bookmarkEnd w:id="210"/>
          <w:r w:rsidR="005D0F72">
            <w:fldChar w:fldCharType="end"/>
          </w:r>
        </w:sdtContent>
      </w:sdt>
      <w:r w:rsidRPr="00CE7CB9">
        <w:rPr>
          <w:lang w:val="en-US"/>
        </w:rPr>
        <w:t xml:space="preserve">. </w:t>
      </w:r>
      <w:r w:rsidRPr="00CE7CB9">
        <w:t>Individual aptitude</w:t>
      </w:r>
      <w:r>
        <w:t>,</w:t>
      </w:r>
      <w:r w:rsidRPr="00CE7CB9">
        <w:t xml:space="preserve"> motivation</w:t>
      </w:r>
      <w:r>
        <w:t xml:space="preserve">, attitudes and emotions </w:t>
      </w:r>
      <w:sdt>
        <w:sdtPr>
          <w:id w:val="-1354576575"/>
          <w:citation/>
        </w:sdtPr>
        <w:sdtEndPr/>
        <w:sdtContent>
          <w:r w:rsidR="005D0F72">
            <w:fldChar w:fldCharType="begin"/>
          </w:r>
          <w:r w:rsidR="005D0F72">
            <w:instrText xml:space="preserve"> CITATION Kra82 \l 2057 </w:instrText>
          </w:r>
          <w:r w:rsidR="005D0F72">
            <w:fldChar w:fldCharType="separate"/>
          </w:r>
          <w:r w:rsidR="005D0F72" w:rsidRPr="005D0F72">
            <w:rPr>
              <w:noProof/>
            </w:rPr>
            <w:t>(</w:t>
          </w:r>
          <w:bookmarkStart w:id="211" w:name="Kra82_144"/>
          <w:r w:rsidR="005D0F72" w:rsidRPr="005D0F72">
            <w:rPr>
              <w:noProof/>
            </w:rPr>
            <w:t>Krashen, 1982</w:t>
          </w:r>
          <w:r w:rsidR="005D0F72" w:rsidRPr="005D0F72">
            <w:rPr>
              <w:noProof/>
              <w:vertAlign w:val="subscript"/>
            </w:rPr>
            <w:t>[144]</w:t>
          </w:r>
          <w:r w:rsidR="005D0F72" w:rsidRPr="005D0F72">
            <w:rPr>
              <w:noProof/>
            </w:rPr>
            <w:t>)</w:t>
          </w:r>
          <w:bookmarkEnd w:id="211"/>
          <w:r w:rsidR="005D0F72">
            <w:fldChar w:fldCharType="end"/>
          </w:r>
        </w:sdtContent>
      </w:sdt>
      <w:r w:rsidRPr="00CE7CB9">
        <w:t xml:space="preserve"> play large roles in </w:t>
      </w:r>
      <w:r w:rsidRPr="00861FB9">
        <w:t>additional/second language</w:t>
      </w:r>
      <w:r w:rsidRPr="00CE7CB9">
        <w:t xml:space="preserve"> achievement, but the </w:t>
      </w:r>
      <w:r w:rsidRPr="00495AF7">
        <w:t>relevance</w:t>
      </w:r>
      <w:r w:rsidRPr="00CE7CB9">
        <w:t xml:space="preserve"> of the type of aptitude and motivation differ with different ages and contexts </w:t>
      </w:r>
      <w:sdt>
        <w:sdtPr>
          <w:id w:val="529841913"/>
          <w:citation/>
        </w:sdtPr>
        <w:sdtEndPr/>
        <w:sdtContent>
          <w:r w:rsidR="005D0F72">
            <w:fldChar w:fldCharType="begin"/>
          </w:r>
          <w:r w:rsidR="005D0F72">
            <w:instrText xml:space="preserve"> CITATION CrossRef_CUJ0jo3zEHaJ8x__FK5jqvw \l 2057 </w:instrText>
          </w:r>
          <w:r w:rsidR="005D0F72">
            <w:fldChar w:fldCharType="separate"/>
          </w:r>
          <w:r w:rsidR="005D0F72" w:rsidRPr="005D0F72">
            <w:rPr>
              <w:noProof/>
            </w:rPr>
            <w:t>(</w:t>
          </w:r>
          <w:bookmarkStart w:id="212" w:name="CrossRef_CUJ0jo3zEHaJ8x__FK5jqvw_145"/>
          <w:r w:rsidR="005D0F72" w:rsidRPr="005D0F72">
            <w:rPr>
              <w:noProof/>
            </w:rPr>
            <w:t>Dixon et al., 2012</w:t>
          </w:r>
          <w:r w:rsidR="005D0F72" w:rsidRPr="005D0F72">
            <w:rPr>
              <w:noProof/>
              <w:vertAlign w:val="subscript"/>
            </w:rPr>
            <w:t>[145]</w:t>
          </w:r>
          <w:r w:rsidR="005D0F72" w:rsidRPr="005D0F72">
            <w:rPr>
              <w:noProof/>
            </w:rPr>
            <w:t>)</w:t>
          </w:r>
          <w:bookmarkEnd w:id="212"/>
          <w:r w:rsidR="005D0F72">
            <w:fldChar w:fldCharType="end"/>
          </w:r>
        </w:sdtContent>
      </w:sdt>
      <w:r w:rsidRPr="00CE7CB9">
        <w:t xml:space="preserve">. Children with developmental disorders can also learn an </w:t>
      </w:r>
      <w:r w:rsidRPr="00861FB9">
        <w:t>additional/second language</w:t>
      </w:r>
      <w:r w:rsidRPr="00CE7CB9">
        <w:t xml:space="preserve">, and there is no evidence to suggest that they should be restricted to learning only one language. </w:t>
      </w:r>
    </w:p>
    <w:p w14:paraId="5DD36454" w14:textId="743F51BF" w:rsidR="006145A3" w:rsidRPr="0079701B" w:rsidRDefault="006145A3" w:rsidP="006145A3">
      <w:pPr>
        <w:pStyle w:val="Para0"/>
      </w:pPr>
      <w:r w:rsidRPr="00CE7CB9">
        <w:rPr>
          <w:lang w:val="en-US"/>
        </w:rPr>
        <w:t xml:space="preserve">There is not solid evidence for a specific critical age </w:t>
      </w:r>
      <w:r>
        <w:rPr>
          <w:lang w:val="en-US"/>
        </w:rPr>
        <w:t>at</w:t>
      </w:r>
      <w:r w:rsidRPr="00CE7CB9">
        <w:rPr>
          <w:lang w:val="en-US"/>
        </w:rPr>
        <w:t xml:space="preserve"> which </w:t>
      </w:r>
      <w:r w:rsidRPr="00861FB9">
        <w:t>additional/second language</w:t>
      </w:r>
      <w:r w:rsidRPr="00CE7CB9">
        <w:rPr>
          <w:lang w:val="en-US"/>
        </w:rPr>
        <w:t xml:space="preserve"> learning should begin, and different aspects of learning may be affected differently by age. Students do not necessarily need to learn the </w:t>
      </w:r>
      <w:r w:rsidRPr="00861FB9">
        <w:t>additional/second language</w:t>
      </w:r>
      <w:r w:rsidRPr="00CE7CB9">
        <w:rPr>
          <w:lang w:val="en-US"/>
        </w:rPr>
        <w:t xml:space="preserve"> from a very early age to learn it well. Immigrant children who begin learning the </w:t>
      </w:r>
      <w:r w:rsidRPr="00861FB9">
        <w:t>additional/second language</w:t>
      </w:r>
      <w:r w:rsidRPr="00CE7CB9">
        <w:rPr>
          <w:lang w:val="en-US"/>
        </w:rPr>
        <w:t xml:space="preserve"> at an early age often attain higher levels of proficiency, especially in pronunciation and grammar </w:t>
      </w:r>
      <w:sdt>
        <w:sdtPr>
          <w:rPr>
            <w:lang w:val="en-US"/>
          </w:rPr>
          <w:id w:val="-1735309456"/>
          <w:citation/>
        </w:sdtPr>
        <w:sdtEndPr/>
        <w:sdtContent>
          <w:r w:rsidR="005D0F72">
            <w:rPr>
              <w:lang w:val="en-US"/>
            </w:rPr>
            <w:fldChar w:fldCharType="begin"/>
          </w:r>
          <w:r w:rsidR="005D0F72">
            <w:rPr>
              <w:noProof/>
              <w:vertAlign w:val="subscript"/>
              <w:lang w:val="en-US"/>
            </w:rPr>
            <w:instrText xml:space="preserve"> CITATION CrossRef_lBgD8_CkTLN7muzCy9Un6A \l 2057 \m CrossRef_ZnVWJMOgULeuuF5vY23jCQ </w:instrText>
          </w:r>
          <w:r w:rsidR="005D0F72">
            <w:rPr>
              <w:lang w:val="en-US"/>
            </w:rPr>
            <w:fldChar w:fldCharType="separate"/>
          </w:r>
          <w:bookmarkStart w:id="213" w:name="CrossRef_ZnVWJMOgULeuuF5vY23jCQ_147"/>
          <w:r w:rsidR="005D0F72" w:rsidRPr="005D0F72">
            <w:rPr>
              <w:noProof/>
              <w:lang w:val="en-US"/>
            </w:rPr>
            <w:t>(</w:t>
          </w:r>
          <w:bookmarkStart w:id="214" w:name="CrossRef_lBgD8_CkTLN7muzCy9Un6A_146"/>
          <w:r w:rsidR="005D0F72" w:rsidRPr="005D0F72">
            <w:rPr>
              <w:noProof/>
              <w:lang w:val="en-US"/>
            </w:rPr>
            <w:t>Abrahamsson and Hyltenstam, 2009</w:t>
          </w:r>
          <w:r w:rsidR="005D0F72" w:rsidRPr="005D0F72">
            <w:rPr>
              <w:noProof/>
              <w:vertAlign w:val="subscript"/>
              <w:lang w:val="en-US"/>
            </w:rPr>
            <w:t>[146]</w:t>
          </w:r>
          <w:r w:rsidR="005D0F72" w:rsidRPr="005D0F72">
            <w:rPr>
              <w:noProof/>
              <w:lang w:val="en-US"/>
            </w:rPr>
            <w:t xml:space="preserve">; </w:t>
          </w:r>
          <w:bookmarkEnd w:id="214"/>
          <w:r w:rsidR="005D0F72" w:rsidRPr="005D0F72">
            <w:rPr>
              <w:noProof/>
              <w:lang w:val="en-US"/>
            </w:rPr>
            <w:t>Flege, Yeni-Komshian and Liu, 1999</w:t>
          </w:r>
          <w:r w:rsidR="005D0F72" w:rsidRPr="005D0F72">
            <w:rPr>
              <w:noProof/>
              <w:vertAlign w:val="subscript"/>
              <w:lang w:val="en-US"/>
            </w:rPr>
            <w:t>[147]</w:t>
          </w:r>
          <w:r w:rsidR="005D0F72" w:rsidRPr="005D0F72">
            <w:rPr>
              <w:noProof/>
              <w:lang w:val="en-US"/>
            </w:rPr>
            <w:t>)</w:t>
          </w:r>
          <w:bookmarkEnd w:id="213"/>
          <w:r w:rsidR="005D0F72">
            <w:rPr>
              <w:lang w:val="en-US"/>
            </w:rPr>
            <w:fldChar w:fldCharType="end"/>
          </w:r>
        </w:sdtContent>
      </w:sdt>
      <w:r w:rsidRPr="00CE7CB9">
        <w:rPr>
          <w:lang w:val="en-US"/>
        </w:rPr>
        <w:t xml:space="preserve">, but older beginners may learn at a faster rate </w:t>
      </w:r>
      <w:sdt>
        <w:sdtPr>
          <w:rPr>
            <w:lang w:val="en-US"/>
          </w:rPr>
          <w:id w:val="-1126300574"/>
          <w:citation/>
        </w:sdtPr>
        <w:sdtEndPr/>
        <w:sdtContent>
          <w:r w:rsidR="005D0F72">
            <w:rPr>
              <w:lang w:val="en-US"/>
            </w:rPr>
            <w:fldChar w:fldCharType="begin"/>
          </w:r>
          <w:r w:rsidR="005D0F72">
            <w:rPr>
              <w:noProof/>
              <w:vertAlign w:val="subscript"/>
              <w:lang w:val="en-US"/>
            </w:rPr>
            <w:instrText xml:space="preserve"> CITATION CrossRef_xN9z3X02jePAOUhpgmomTg \l 2057 \m CrossRef_UdWcS51os9dgfa0XM4aUjw </w:instrText>
          </w:r>
          <w:r w:rsidR="005D0F72">
            <w:rPr>
              <w:lang w:val="en-US"/>
            </w:rPr>
            <w:fldChar w:fldCharType="separate"/>
          </w:r>
          <w:bookmarkStart w:id="215" w:name="CrossRef_UdWcS51os9dgfa0XM4aUjw_149"/>
          <w:r w:rsidR="005D0F72" w:rsidRPr="005D0F72">
            <w:rPr>
              <w:noProof/>
              <w:lang w:val="en-US"/>
            </w:rPr>
            <w:t>(</w:t>
          </w:r>
          <w:bookmarkStart w:id="216" w:name="CrossRef_xN9z3X02jePAOUhpgmomTg_148"/>
          <w:r w:rsidR="005D0F72" w:rsidRPr="005D0F72">
            <w:rPr>
              <w:noProof/>
              <w:lang w:val="en-US"/>
            </w:rPr>
            <w:t>Harley and Hart, 1997</w:t>
          </w:r>
          <w:r w:rsidR="005D0F72" w:rsidRPr="005D0F72">
            <w:rPr>
              <w:noProof/>
              <w:vertAlign w:val="subscript"/>
              <w:lang w:val="en-US"/>
            </w:rPr>
            <w:t>[148]</w:t>
          </w:r>
          <w:r w:rsidR="005D0F72" w:rsidRPr="005D0F72">
            <w:rPr>
              <w:noProof/>
              <w:lang w:val="en-US"/>
            </w:rPr>
            <w:t xml:space="preserve">; </w:t>
          </w:r>
          <w:bookmarkEnd w:id="216"/>
          <w:r w:rsidR="005D0F72" w:rsidRPr="005D0F72">
            <w:rPr>
              <w:noProof/>
              <w:lang w:val="en-US"/>
            </w:rPr>
            <w:t>MacSwan and Pray, 2005</w:t>
          </w:r>
          <w:r w:rsidR="005D0F72" w:rsidRPr="005D0F72">
            <w:rPr>
              <w:noProof/>
              <w:vertAlign w:val="subscript"/>
              <w:lang w:val="en-US"/>
            </w:rPr>
            <w:t>[149]</w:t>
          </w:r>
          <w:r w:rsidR="005D0F72" w:rsidRPr="005D0F72">
            <w:rPr>
              <w:noProof/>
              <w:lang w:val="en-US"/>
            </w:rPr>
            <w:t>)</w:t>
          </w:r>
          <w:bookmarkEnd w:id="215"/>
          <w:r w:rsidR="005D0F72">
            <w:rPr>
              <w:lang w:val="en-US"/>
            </w:rPr>
            <w:fldChar w:fldCharType="end"/>
          </w:r>
        </w:sdtContent>
      </w:sdt>
      <w:r w:rsidRPr="00CE7CB9">
        <w:rPr>
          <w:lang w:val="en-US"/>
        </w:rPr>
        <w:t>.</w:t>
      </w:r>
    </w:p>
    <w:p w14:paraId="11BCC40F" w14:textId="33592D52" w:rsidR="006145A3" w:rsidRDefault="006145A3" w:rsidP="006145A3">
      <w:pPr>
        <w:pStyle w:val="Para0"/>
        <w:rPr>
          <w:lang w:val="en-US"/>
        </w:rPr>
      </w:pPr>
      <w:r w:rsidRPr="00CE7CB9">
        <w:rPr>
          <w:lang w:val="en-US"/>
        </w:rPr>
        <w:t xml:space="preserve">Some studies have shown that students who begin learning later can do just as well as those who began earlier </w:t>
      </w:r>
      <w:sdt>
        <w:sdtPr>
          <w:rPr>
            <w:lang w:val="en-US"/>
          </w:rPr>
          <w:id w:val="1618412207"/>
          <w:citation/>
        </w:sdtPr>
        <w:sdtEndPr/>
        <w:sdtContent>
          <w:r w:rsidR="005D0F72">
            <w:rPr>
              <w:lang w:val="en-US"/>
            </w:rPr>
            <w:fldChar w:fldCharType="begin"/>
          </w:r>
          <w:r w:rsidR="005D0F72">
            <w:rPr>
              <w:noProof/>
              <w:vertAlign w:val="subscript"/>
            </w:rPr>
            <w:instrText xml:space="preserve"> CITATION CrossRef_xN9z3X02jePAOUhpgmomTg \l 2057 \m CrossRef_sojTkFhJQVLy04vBnpmUqg </w:instrText>
          </w:r>
          <w:r w:rsidR="005D0F72">
            <w:rPr>
              <w:lang w:val="en-US"/>
            </w:rPr>
            <w:fldChar w:fldCharType="separate"/>
          </w:r>
          <w:bookmarkStart w:id="217" w:name="CrossRef_sojTkFhJQVLy04vBnpmUqg_150"/>
          <w:r w:rsidR="005D0F72" w:rsidRPr="005D0F72">
            <w:rPr>
              <w:noProof/>
            </w:rPr>
            <w:t>(Harley and Hart, 1997</w:t>
          </w:r>
          <w:r w:rsidR="005D0F72" w:rsidRPr="005D0F72">
            <w:rPr>
              <w:noProof/>
              <w:vertAlign w:val="subscript"/>
            </w:rPr>
            <w:t>[148]</w:t>
          </w:r>
          <w:r w:rsidR="005D0F72" w:rsidRPr="005D0F72">
            <w:rPr>
              <w:noProof/>
            </w:rPr>
            <w:t>; Munoz, 2008</w:t>
          </w:r>
          <w:r w:rsidR="005D0F72" w:rsidRPr="005D0F72">
            <w:rPr>
              <w:noProof/>
              <w:vertAlign w:val="subscript"/>
            </w:rPr>
            <w:t>[150]</w:t>
          </w:r>
          <w:r w:rsidR="005D0F72" w:rsidRPr="005D0F72">
            <w:rPr>
              <w:noProof/>
            </w:rPr>
            <w:t>)</w:t>
          </w:r>
          <w:bookmarkEnd w:id="217"/>
          <w:r w:rsidR="005D0F72">
            <w:rPr>
              <w:lang w:val="en-US"/>
            </w:rPr>
            <w:fldChar w:fldCharType="end"/>
          </w:r>
        </w:sdtContent>
      </w:sdt>
      <w:r w:rsidRPr="00CE7CB9">
        <w:rPr>
          <w:lang w:val="en-US"/>
        </w:rPr>
        <w:t xml:space="preserve">. Children who learn the </w:t>
      </w:r>
      <w:r w:rsidRPr="00861FB9">
        <w:t>additional/second language</w:t>
      </w:r>
      <w:r w:rsidRPr="00CE7CB9">
        <w:rPr>
          <w:lang w:val="en-US"/>
        </w:rPr>
        <w:t xml:space="preserve"> in a foreign language learning environment often benefit from a later beginning in the </w:t>
      </w:r>
      <w:r w:rsidRPr="00861FB9">
        <w:t>additional/second language</w:t>
      </w:r>
      <w:r w:rsidRPr="00CE7CB9">
        <w:rPr>
          <w:lang w:val="en-US"/>
        </w:rPr>
        <w:t xml:space="preserve"> </w:t>
      </w:r>
      <w:sdt>
        <w:sdtPr>
          <w:rPr>
            <w:lang w:val="en-US"/>
          </w:rPr>
          <w:id w:val="1916046580"/>
          <w:citation/>
        </w:sdtPr>
        <w:sdtEndPr/>
        <w:sdtContent>
          <w:r w:rsidR="005D0F72">
            <w:rPr>
              <w:lang w:val="en-US"/>
            </w:rPr>
            <w:fldChar w:fldCharType="begin"/>
          </w:r>
          <w:r w:rsidR="005D0F72">
            <w:instrText xml:space="preserve"> CITATION CrossRef_CUJ0jo3zEHaJ8x__FK5jqvw \l 2057 </w:instrText>
          </w:r>
          <w:r w:rsidR="00472C1F">
            <w:instrText xml:space="preserve"> \m Mir07</w:instrText>
          </w:r>
          <w:r w:rsidR="00C666D5">
            <w:instrText xml:space="preserve"> \m Cel01</w:instrText>
          </w:r>
          <w:r w:rsidR="005D0F72">
            <w:rPr>
              <w:lang w:val="en-US"/>
            </w:rPr>
            <w:fldChar w:fldCharType="separate"/>
          </w:r>
          <w:bookmarkStart w:id="218" w:name="Mir07_151"/>
          <w:bookmarkStart w:id="219" w:name="Cel01_152"/>
          <w:r w:rsidR="00C666D5" w:rsidRPr="00C666D5">
            <w:rPr>
              <w:noProof/>
            </w:rPr>
            <w:t>(Dixon et al., 2012</w:t>
          </w:r>
          <w:r w:rsidR="00C666D5" w:rsidRPr="00C666D5">
            <w:rPr>
              <w:noProof/>
              <w:vertAlign w:val="subscript"/>
            </w:rPr>
            <w:t>[145]</w:t>
          </w:r>
          <w:r w:rsidR="00C666D5" w:rsidRPr="00C666D5">
            <w:rPr>
              <w:noProof/>
            </w:rPr>
            <w:t>; Miralpeix, 2007</w:t>
          </w:r>
          <w:r w:rsidR="00C666D5" w:rsidRPr="00C666D5">
            <w:rPr>
              <w:noProof/>
              <w:vertAlign w:val="subscript"/>
            </w:rPr>
            <w:t>[151]</w:t>
          </w:r>
          <w:r w:rsidR="00C666D5" w:rsidRPr="00C666D5">
            <w:rPr>
              <w:noProof/>
            </w:rPr>
            <w:t>; Celaya, Torras and Vidal, 2001</w:t>
          </w:r>
          <w:r w:rsidR="00C666D5" w:rsidRPr="00C666D5">
            <w:rPr>
              <w:noProof/>
              <w:vertAlign w:val="subscript"/>
            </w:rPr>
            <w:t>[152]</w:t>
          </w:r>
          <w:r w:rsidR="00C666D5" w:rsidRPr="00C666D5">
            <w:rPr>
              <w:noProof/>
            </w:rPr>
            <w:t>)</w:t>
          </w:r>
          <w:bookmarkEnd w:id="218"/>
          <w:bookmarkEnd w:id="219"/>
          <w:r w:rsidR="005D0F72">
            <w:rPr>
              <w:lang w:val="en-US"/>
            </w:rPr>
            <w:fldChar w:fldCharType="end"/>
          </w:r>
        </w:sdtContent>
      </w:sdt>
      <w:r w:rsidRPr="00CE7CB9">
        <w:rPr>
          <w:lang w:val="en-US"/>
        </w:rPr>
        <w:t>.</w:t>
      </w:r>
      <w:r>
        <w:rPr>
          <w:lang w:val="en-US"/>
        </w:rPr>
        <w:t xml:space="preserve"> </w:t>
      </w:r>
      <w:r w:rsidRPr="00CE7CB9">
        <w:rPr>
          <w:lang w:val="en-US"/>
        </w:rPr>
        <w:t xml:space="preserve">Literacy skills developed in </w:t>
      </w:r>
      <w:r w:rsidRPr="00B87DD2">
        <w:t>mother tongue/first language</w:t>
      </w:r>
      <w:r w:rsidRPr="00CE7CB9">
        <w:rPr>
          <w:lang w:val="en-US"/>
        </w:rPr>
        <w:t xml:space="preserve"> can be transferred to </w:t>
      </w:r>
      <w:r w:rsidRPr="00861FB9">
        <w:t>additional/second language</w:t>
      </w:r>
      <w:r w:rsidRPr="00CE7CB9">
        <w:rPr>
          <w:lang w:val="en-US"/>
        </w:rPr>
        <w:t xml:space="preserve"> literacy learning </w:t>
      </w:r>
      <w:sdt>
        <w:sdtPr>
          <w:rPr>
            <w:lang w:val="en-US"/>
          </w:rPr>
          <w:id w:val="691652520"/>
          <w:citation/>
        </w:sdtPr>
        <w:sdtEndPr/>
        <w:sdtContent>
          <w:r w:rsidR="00C666D5">
            <w:rPr>
              <w:lang w:val="en-US"/>
            </w:rPr>
            <w:fldChar w:fldCharType="begin"/>
          </w:r>
          <w:r w:rsidR="00C666D5">
            <w:instrText xml:space="preserve"> CITATION Gen06 \l 2057  \m Ric06 \m Cum911</w:instrText>
          </w:r>
          <w:r w:rsidR="00C666D5">
            <w:rPr>
              <w:lang w:val="en-US"/>
            </w:rPr>
            <w:fldChar w:fldCharType="separate"/>
          </w:r>
          <w:bookmarkStart w:id="220" w:name="Ric06_154"/>
          <w:bookmarkStart w:id="221" w:name="Cum911_155"/>
          <w:r w:rsidR="00C666D5" w:rsidRPr="00C666D5">
            <w:rPr>
              <w:noProof/>
            </w:rPr>
            <w:t>(</w:t>
          </w:r>
          <w:bookmarkStart w:id="222" w:name="Gen06_153"/>
          <w:r w:rsidR="00C666D5" w:rsidRPr="00C666D5">
            <w:rPr>
              <w:noProof/>
            </w:rPr>
            <w:t>Genesee et al., 2006</w:t>
          </w:r>
          <w:r w:rsidR="00C666D5" w:rsidRPr="00C666D5">
            <w:rPr>
              <w:noProof/>
              <w:vertAlign w:val="subscript"/>
            </w:rPr>
            <w:t>[153]</w:t>
          </w:r>
          <w:r w:rsidR="00C666D5" w:rsidRPr="00C666D5">
            <w:rPr>
              <w:noProof/>
            </w:rPr>
            <w:t xml:space="preserve">; </w:t>
          </w:r>
          <w:bookmarkEnd w:id="222"/>
          <w:r w:rsidR="00C666D5" w:rsidRPr="00C666D5">
            <w:rPr>
              <w:noProof/>
            </w:rPr>
            <w:t>Riches and Genesee, 2006</w:t>
          </w:r>
          <w:r w:rsidR="00C666D5" w:rsidRPr="00C666D5">
            <w:rPr>
              <w:noProof/>
              <w:vertAlign w:val="subscript"/>
            </w:rPr>
            <w:t>[154]</w:t>
          </w:r>
          <w:r w:rsidR="00C666D5" w:rsidRPr="00C666D5">
            <w:rPr>
              <w:noProof/>
            </w:rPr>
            <w:t>; Cummins, 1991</w:t>
          </w:r>
          <w:r w:rsidR="00C666D5" w:rsidRPr="00C666D5">
            <w:rPr>
              <w:noProof/>
              <w:vertAlign w:val="subscript"/>
            </w:rPr>
            <w:t>[155]</w:t>
          </w:r>
          <w:r w:rsidR="00C666D5" w:rsidRPr="00C666D5">
            <w:rPr>
              <w:noProof/>
            </w:rPr>
            <w:t>)</w:t>
          </w:r>
          <w:bookmarkEnd w:id="220"/>
          <w:bookmarkEnd w:id="221"/>
          <w:r w:rsidR="00C666D5">
            <w:rPr>
              <w:lang w:val="en-US"/>
            </w:rPr>
            <w:fldChar w:fldCharType="end"/>
          </w:r>
        </w:sdtContent>
      </w:sdt>
      <w:r w:rsidRPr="00CE7CB9">
        <w:rPr>
          <w:lang w:val="en-US"/>
        </w:rPr>
        <w:t xml:space="preserve">. In addition, older students may be better able to draw on abstract analytic skills than younger students. </w:t>
      </w:r>
    </w:p>
    <w:p w14:paraId="11BA2940" w14:textId="3CC0942C" w:rsidR="006145A3" w:rsidRDefault="006145A3" w:rsidP="006145A3">
      <w:pPr>
        <w:pStyle w:val="Para0"/>
        <w:rPr>
          <w:color w:val="000000"/>
        </w:rPr>
      </w:pPr>
      <w:bookmarkStart w:id="223" w:name="_Ref40255674"/>
      <w:r w:rsidRPr="0066041B">
        <w:t xml:space="preserve">A study of two </w:t>
      </w:r>
      <w:r w:rsidRPr="0066041B">
        <w:rPr>
          <w:color w:val="000000"/>
        </w:rPr>
        <w:t>M</w:t>
      </w:r>
      <w:r w:rsidRPr="0066041B">
        <w:t xml:space="preserve">i'kmaq programmes taught to young children in Cape Breton, Canada, </w:t>
      </w:r>
      <w:r w:rsidRPr="0066041B">
        <w:rPr>
          <w:color w:val="000000"/>
        </w:rPr>
        <w:t>looked at the different Indigenous language learning outcomes of an immersion programme</w:t>
      </w:r>
      <w:r>
        <w:rPr>
          <w:color w:val="000000"/>
        </w:rPr>
        <w:t xml:space="preserve"> </w:t>
      </w:r>
      <w:r w:rsidRPr="0066041B">
        <w:rPr>
          <w:color w:val="000000"/>
        </w:rPr>
        <w:t xml:space="preserve">versus regular second/additional language programmes in a revitalisation context. Students from the same community </w:t>
      </w:r>
      <w:r w:rsidRPr="0066041B">
        <w:rPr>
          <w:color w:val="000000"/>
        </w:rPr>
        <w:lastRenderedPageBreak/>
        <w:t>attended two different schools, which each ran a different programme type. Students entered their respective schools as English speakers with a limited knowledge of M</w:t>
      </w:r>
      <w:r w:rsidRPr="0066041B">
        <w:t xml:space="preserve">i'kmaq as they did not experience it spoken extensively around them in their community. </w:t>
      </w:r>
      <w:r w:rsidRPr="0066041B">
        <w:rPr>
          <w:color w:val="000000"/>
        </w:rPr>
        <w:t>The children participated in their respective M</w:t>
      </w:r>
      <w:r w:rsidRPr="0066041B">
        <w:t xml:space="preserve">i'kmaq language </w:t>
      </w:r>
      <w:r w:rsidRPr="0066041B">
        <w:rPr>
          <w:color w:val="000000"/>
        </w:rPr>
        <w:t xml:space="preserve">programmes in </w:t>
      </w:r>
      <w:r>
        <w:rPr>
          <w:color w:val="000000"/>
        </w:rPr>
        <w:t>Kindergarten, primary and grade </w:t>
      </w:r>
      <w:r w:rsidRPr="0066041B">
        <w:rPr>
          <w:color w:val="000000"/>
        </w:rPr>
        <w:t xml:space="preserve">1 </w:t>
      </w:r>
      <w:sdt>
        <w:sdtPr>
          <w:rPr>
            <w:color w:val="000000"/>
          </w:rPr>
          <w:id w:val="1314918255"/>
          <w:citation/>
        </w:sdtPr>
        <w:sdtEndPr/>
        <w:sdtContent>
          <w:r w:rsidR="00F560A3">
            <w:rPr>
              <w:color w:val="000000"/>
            </w:rPr>
            <w:fldChar w:fldCharType="begin"/>
          </w:r>
          <w:r w:rsidR="00F560A3">
            <w:rPr>
              <w:color w:val="000000"/>
            </w:rPr>
            <w:instrText xml:space="preserve"> CITATION Usb11 \l 2057 </w:instrText>
          </w:r>
          <w:r w:rsidR="00F560A3">
            <w:rPr>
              <w:color w:val="000000"/>
            </w:rPr>
            <w:fldChar w:fldCharType="separate"/>
          </w:r>
          <w:r w:rsidR="00F560A3" w:rsidRPr="00F560A3">
            <w:rPr>
              <w:noProof/>
              <w:color w:val="000000"/>
            </w:rPr>
            <w:t>(</w:t>
          </w:r>
          <w:bookmarkStart w:id="224" w:name="Usb11_156"/>
          <w:r w:rsidR="00F560A3" w:rsidRPr="00F560A3">
            <w:rPr>
              <w:noProof/>
              <w:color w:val="000000"/>
            </w:rPr>
            <w:t>Usborne, D. and Taylor, 2011</w:t>
          </w:r>
          <w:r w:rsidR="00F560A3" w:rsidRPr="00F560A3">
            <w:rPr>
              <w:noProof/>
              <w:color w:val="000000"/>
              <w:vertAlign w:val="subscript"/>
            </w:rPr>
            <w:t>[156]</w:t>
          </w:r>
          <w:r w:rsidR="00F560A3" w:rsidRPr="00F560A3">
            <w:rPr>
              <w:noProof/>
              <w:color w:val="000000"/>
            </w:rPr>
            <w:t>)</w:t>
          </w:r>
          <w:bookmarkEnd w:id="224"/>
          <w:r w:rsidR="00F560A3">
            <w:rPr>
              <w:color w:val="000000"/>
            </w:rPr>
            <w:fldChar w:fldCharType="end"/>
          </w:r>
        </w:sdtContent>
      </w:sdt>
      <w:r w:rsidRPr="0066041B">
        <w:rPr>
          <w:color w:val="000000"/>
        </w:rPr>
        <w:t xml:space="preserve">. </w:t>
      </w:r>
    </w:p>
    <w:p w14:paraId="2DCD3FC3" w14:textId="77777777" w:rsidR="006145A3" w:rsidRDefault="006145A3" w:rsidP="006145A3">
      <w:pPr>
        <w:pStyle w:val="Para0"/>
        <w:rPr>
          <w:color w:val="000000"/>
        </w:rPr>
      </w:pPr>
      <w:r w:rsidRPr="0066041B">
        <w:rPr>
          <w:color w:val="000000"/>
        </w:rPr>
        <w:t>Both cohorts learned more M</w:t>
      </w:r>
      <w:r w:rsidRPr="0066041B">
        <w:t>i'kmaq from engaging with their respective language programmes.</w:t>
      </w:r>
      <w:r w:rsidRPr="0066041B">
        <w:rPr>
          <w:color w:val="000000"/>
        </w:rPr>
        <w:t xml:space="preserve"> </w:t>
      </w:r>
      <w:r>
        <w:rPr>
          <w:color w:val="000000"/>
        </w:rPr>
        <w:t>T</w:t>
      </w:r>
      <w:r w:rsidRPr="0066041B">
        <w:rPr>
          <w:color w:val="000000"/>
        </w:rPr>
        <w:t>he research found</w:t>
      </w:r>
      <w:r>
        <w:rPr>
          <w:color w:val="000000"/>
        </w:rPr>
        <w:t>,</w:t>
      </w:r>
      <w:r w:rsidRPr="0066041B">
        <w:rPr>
          <w:color w:val="000000"/>
        </w:rPr>
        <w:t xml:space="preserve"> </w:t>
      </w:r>
      <w:r>
        <w:t>however,</w:t>
      </w:r>
      <w:r w:rsidRPr="0066041B">
        <w:t xml:space="preserve"> </w:t>
      </w:r>
      <w:r w:rsidRPr="0066041B">
        <w:rPr>
          <w:color w:val="000000"/>
        </w:rPr>
        <w:t>that children from the immersion programme had consistently much higher Mi'kmaq language skills, confirming that the additional quality language learning time was beneficial to their language learning. In the immersion programme they learned their early childhood core subjects, math</w:t>
      </w:r>
      <w:r>
        <w:rPr>
          <w:color w:val="000000"/>
        </w:rPr>
        <w:t>ematics</w:t>
      </w:r>
      <w:r w:rsidRPr="0066041B">
        <w:rPr>
          <w:color w:val="000000"/>
        </w:rPr>
        <w:t>, language</w:t>
      </w:r>
      <w:r>
        <w:rPr>
          <w:color w:val="000000"/>
        </w:rPr>
        <w:t>,</w:t>
      </w:r>
      <w:r w:rsidRPr="0066041B">
        <w:rPr>
          <w:color w:val="000000"/>
        </w:rPr>
        <w:t xml:space="preserve"> arts and social studies, in M</w:t>
      </w:r>
      <w:r w:rsidRPr="0066041B">
        <w:t>i'kmaq</w:t>
      </w:r>
      <w:r w:rsidRPr="0066041B">
        <w:rPr>
          <w:color w:val="000000"/>
        </w:rPr>
        <w:t>. In contrast, in the regular second language programme type, they learned their core subjects through English and learned a minimum of one hour per day of M</w:t>
      </w:r>
      <w:r w:rsidRPr="0066041B">
        <w:t>i'kmaq.</w:t>
      </w:r>
    </w:p>
    <w:p w14:paraId="3613E891" w14:textId="77777777" w:rsidR="006145A3" w:rsidRPr="00B931E6" w:rsidRDefault="006145A3" w:rsidP="006145A3">
      <w:pPr>
        <w:pStyle w:val="Heading2"/>
        <w:numPr>
          <w:ilvl w:val="1"/>
          <w:numId w:val="22"/>
        </w:numPr>
      </w:pPr>
      <w:bookmarkStart w:id="225" w:name="_Toc82093571"/>
      <w:bookmarkStart w:id="226" w:name="_Toc95824110"/>
      <w:r w:rsidRPr="00B931E6">
        <w:t>Multilingualism: individual repertoires and behaviours</w:t>
      </w:r>
      <w:bookmarkEnd w:id="223"/>
      <w:bookmarkEnd w:id="225"/>
      <w:bookmarkEnd w:id="226"/>
    </w:p>
    <w:p w14:paraId="34CDDC84" w14:textId="77777777" w:rsidR="006145A3" w:rsidRDefault="006145A3" w:rsidP="006145A3">
      <w:pPr>
        <w:pStyle w:val="Para0"/>
      </w:pPr>
      <w:r w:rsidRPr="00CE7CB9">
        <w:t xml:space="preserve">Although the </w:t>
      </w:r>
      <w:r w:rsidRPr="00AF3F90">
        <w:t>stereotype of a multilingual child is one who speaks two languages fluently, multilingual</w:t>
      </w:r>
      <w:r>
        <w:t>ism varies, including</w:t>
      </w:r>
      <w:r w:rsidRPr="00AF3F90">
        <w:t xml:space="preserve"> </w:t>
      </w:r>
      <w:r>
        <w:t>that</w:t>
      </w:r>
      <w:r w:rsidRPr="00AF3F90">
        <w:t xml:space="preserve"> a person's proficiency across their languages changes</w:t>
      </w:r>
      <w:r>
        <w:t xml:space="preserve"> </w:t>
      </w:r>
      <w:r w:rsidRPr="00AF3F90">
        <w:t>over the</w:t>
      </w:r>
      <w:r>
        <w:t>ir</w:t>
      </w:r>
      <w:r w:rsidRPr="00AF3F90">
        <w:t xml:space="preserve"> life.</w:t>
      </w:r>
    </w:p>
    <w:p w14:paraId="589185A0" w14:textId="77777777" w:rsidR="006145A3" w:rsidRPr="00AF3F90" w:rsidRDefault="006145A3" w:rsidP="006145A3">
      <w:pPr>
        <w:pStyle w:val="Para0"/>
      </w:pPr>
      <w:r>
        <w:t xml:space="preserve">A </w:t>
      </w:r>
      <w:r w:rsidRPr="00AF3F90">
        <w:t>number of terms are used to describe different patterns of language learning among multilingual children</w:t>
      </w:r>
      <w:r>
        <w:t>, as follows:</w:t>
      </w:r>
    </w:p>
    <w:p w14:paraId="61C02483" w14:textId="4DFF1154" w:rsidR="006145A3" w:rsidRPr="00723D09" w:rsidRDefault="006145A3" w:rsidP="006145A3">
      <w:pPr>
        <w:pStyle w:val="BulletedList"/>
      </w:pPr>
      <w:r w:rsidRPr="00723D09">
        <w:t xml:space="preserve">Simultaneous bilingualism refers to a child learning two or more languages from birth </w:t>
      </w:r>
      <w:sdt>
        <w:sdtPr>
          <w:id w:val="2004394613"/>
          <w:citation/>
        </w:sdtPr>
        <w:sdtEndPr/>
        <w:sdtContent>
          <w:r w:rsidR="00A77098">
            <w:fldChar w:fldCharType="begin"/>
          </w:r>
          <w:r w:rsidR="00A77098">
            <w:instrText xml:space="preserve"> CITATION Gil15 \l 2057 </w:instrText>
          </w:r>
          <w:r w:rsidR="00A77098">
            <w:fldChar w:fldCharType="separate"/>
          </w:r>
          <w:r w:rsidR="00A77098" w:rsidRPr="00A77098">
            <w:rPr>
              <w:noProof/>
            </w:rPr>
            <w:t>(</w:t>
          </w:r>
          <w:bookmarkStart w:id="227" w:name="Gil15_157"/>
          <w:r w:rsidR="00A77098" w:rsidRPr="00A77098">
            <w:rPr>
              <w:noProof/>
            </w:rPr>
            <w:t>Gildersleeve-Neumann, 2015</w:t>
          </w:r>
          <w:r w:rsidR="00A77098" w:rsidRPr="00A77098">
            <w:rPr>
              <w:noProof/>
              <w:vertAlign w:val="subscript"/>
            </w:rPr>
            <w:t>[157]</w:t>
          </w:r>
          <w:r w:rsidR="00A77098" w:rsidRPr="00A77098">
            <w:rPr>
              <w:noProof/>
            </w:rPr>
            <w:t>)</w:t>
          </w:r>
          <w:bookmarkEnd w:id="227"/>
          <w:r w:rsidR="00A77098">
            <w:fldChar w:fldCharType="end"/>
          </w:r>
        </w:sdtContent>
      </w:sdt>
      <w:r w:rsidRPr="00723D09">
        <w:t xml:space="preserve">. So, for example if a child speaks different languages with each parent, or two caregivers, this is a case of simultaneous bilingualism. In simultaneous bilingualism the child has two or more first languages, because one </w:t>
      </w:r>
      <w:r w:rsidRPr="00495AF7">
        <w:t>language</w:t>
      </w:r>
      <w:r w:rsidRPr="00723D09">
        <w:t xml:space="preserve"> does not precede the other in terms of when they were learned</w:t>
      </w:r>
    </w:p>
    <w:p w14:paraId="2345AA2E" w14:textId="77777777" w:rsidR="006145A3" w:rsidRPr="00723D09" w:rsidRDefault="006145A3" w:rsidP="006145A3">
      <w:pPr>
        <w:pStyle w:val="BulletedList"/>
      </w:pPr>
      <w:r w:rsidRPr="00723D09">
        <w:t>Sequential bilingualism is when a child learns a second language when they are older, so for example if a Kriol, Inuktitut or Kunwinjku speaking child begins school at age</w:t>
      </w:r>
      <w:r>
        <w:t> </w:t>
      </w:r>
      <w:r w:rsidRPr="00723D09">
        <w:t>5 and starts to learn English only then, they will be a sequential bilingual. The outcome of second language learning is much less predictable as additional/second language learning has highly variable outcomes. Each additional/second language speaker of English has a very different proficiency in English, so he or she may be stronger in one area of language use than in another.</w:t>
      </w:r>
    </w:p>
    <w:p w14:paraId="429E7277" w14:textId="77777777" w:rsidR="006145A3" w:rsidRPr="00723D09" w:rsidRDefault="006145A3" w:rsidP="006145A3">
      <w:pPr>
        <w:pStyle w:val="BulletedList"/>
      </w:pPr>
      <w:r w:rsidRPr="00723D09">
        <w:t xml:space="preserve">Balanced bilingualism describes somebody who is equally proficient in each of their languages. This is a kind of idealised benchmark as inevitably multilinguals have different strengths in each of their languages, even if they seem equally fluent in each. For example, children may be better at speaking about their family or about emotions in their mother tongue/first language, and better at writing or at talking about current world events in English. </w:t>
      </w:r>
    </w:p>
    <w:p w14:paraId="539A0B35" w14:textId="064F6F98" w:rsidR="006145A3" w:rsidRPr="00723D09" w:rsidRDefault="006145A3" w:rsidP="006145A3">
      <w:pPr>
        <w:pStyle w:val="BulletedList"/>
      </w:pPr>
      <w:r w:rsidRPr="00723D09">
        <w:t xml:space="preserve">Language repertoire is used to refer to the range of languages (and dialects) that a person speaks, their proficiencies in each language and their relationship to each of those languages at a particular point in time </w:t>
      </w:r>
      <w:sdt>
        <w:sdtPr>
          <w:id w:val="-1359730903"/>
          <w:citation/>
        </w:sdtPr>
        <w:sdtEndPr/>
        <w:sdtContent>
          <w:r w:rsidR="00A77098">
            <w:fldChar w:fldCharType="begin"/>
          </w:r>
          <w:r w:rsidR="00A77098">
            <w:instrText>CITATION Bus12 \m Lüp13 \m Gum64 \l 2057  \m Sin18</w:instrText>
          </w:r>
          <w:r w:rsidR="00A77098">
            <w:fldChar w:fldCharType="separate"/>
          </w:r>
          <w:bookmarkStart w:id="228" w:name="Lüp13_159"/>
          <w:bookmarkStart w:id="229" w:name="Gum64_160"/>
          <w:bookmarkStart w:id="230" w:name="Sin18_161"/>
          <w:r w:rsidR="00A77098" w:rsidRPr="00A77098">
            <w:rPr>
              <w:noProof/>
            </w:rPr>
            <w:t>(Busch, 2012</w:t>
          </w:r>
          <w:r w:rsidR="00A77098" w:rsidRPr="00A77098">
            <w:rPr>
              <w:noProof/>
              <w:vertAlign w:val="subscript"/>
            </w:rPr>
            <w:t>[158]</w:t>
          </w:r>
          <w:r w:rsidR="00A77098" w:rsidRPr="00A77098">
            <w:rPr>
              <w:noProof/>
            </w:rPr>
            <w:t>; Lüpke, 2013</w:t>
          </w:r>
          <w:r w:rsidR="00A77098" w:rsidRPr="00A77098">
            <w:rPr>
              <w:noProof/>
              <w:vertAlign w:val="subscript"/>
            </w:rPr>
            <w:t>[159]</w:t>
          </w:r>
          <w:r w:rsidR="00A77098" w:rsidRPr="00A77098">
            <w:rPr>
              <w:noProof/>
            </w:rPr>
            <w:t>; Gumperz, 1964</w:t>
          </w:r>
          <w:r w:rsidR="00A77098" w:rsidRPr="00A77098">
            <w:rPr>
              <w:noProof/>
              <w:vertAlign w:val="subscript"/>
            </w:rPr>
            <w:t>[160]</w:t>
          </w:r>
          <w:r w:rsidR="00A77098" w:rsidRPr="00A77098">
            <w:rPr>
              <w:noProof/>
            </w:rPr>
            <w:t>; Singer, 2018</w:t>
          </w:r>
          <w:r w:rsidR="00A77098" w:rsidRPr="00A77098">
            <w:rPr>
              <w:noProof/>
              <w:vertAlign w:val="subscript"/>
            </w:rPr>
            <w:t>[161]</w:t>
          </w:r>
          <w:r w:rsidR="00A77098" w:rsidRPr="00A77098">
            <w:rPr>
              <w:noProof/>
            </w:rPr>
            <w:t>)</w:t>
          </w:r>
          <w:bookmarkEnd w:id="228"/>
          <w:bookmarkEnd w:id="229"/>
          <w:bookmarkEnd w:id="230"/>
          <w:r w:rsidR="00A77098">
            <w:fldChar w:fldCharType="end"/>
          </w:r>
        </w:sdtContent>
      </w:sdt>
      <w:r w:rsidRPr="00723D09">
        <w:t xml:space="preserve">. Just like a musician's repertoire, people may have very different relationships towards each of their languages. One may be their own language, a heritage language associated with their family that they identify strongly with, which they may or may not speak. Another language may be one they use at work, for practical reasons. Their repertoire may include not only languages they speak well, but also those they may only understand, or only read, and those they are just beginning to learn. A person's language repertoire includes all languages they have a personal relationship with, including those that they yearn to speak but have not yet begun to learn. </w:t>
      </w:r>
    </w:p>
    <w:p w14:paraId="57ACD123" w14:textId="5B5520EC" w:rsidR="006145A3" w:rsidRPr="00AF3F90" w:rsidRDefault="006145A3" w:rsidP="006145A3">
      <w:pPr>
        <w:pStyle w:val="Para0"/>
      </w:pPr>
      <w:r w:rsidRPr="00AF3F90">
        <w:t xml:space="preserve">In communities where most people are multilingual, an individual will often draw on more than one language when they are communicating. When people move back and forth between more than one language when speaking, this is called </w:t>
      </w:r>
      <w:r>
        <w:t>“</w:t>
      </w:r>
      <w:r w:rsidRPr="001F759B">
        <w:t>code-switching</w:t>
      </w:r>
      <w:r>
        <w:rPr>
          <w:i/>
        </w:rPr>
        <w:t>”</w:t>
      </w:r>
      <w:r w:rsidRPr="00AF3F90">
        <w:rPr>
          <w:i/>
        </w:rPr>
        <w:t xml:space="preserve"> </w:t>
      </w:r>
      <w:sdt>
        <w:sdtPr>
          <w:rPr>
            <w:i/>
          </w:rPr>
          <w:id w:val="-653069764"/>
          <w:citation/>
        </w:sdtPr>
        <w:sdtEndPr/>
        <w:sdtContent>
          <w:r w:rsidR="007D1C3C">
            <w:rPr>
              <w:i/>
            </w:rPr>
            <w:fldChar w:fldCharType="begin"/>
          </w:r>
          <w:r w:rsidR="007D1C3C">
            <w:rPr>
              <w:i/>
            </w:rPr>
            <w:instrText xml:space="preserve"> CITATION Mey06 \l 2057 </w:instrText>
          </w:r>
          <w:r w:rsidR="007D1C3C">
            <w:rPr>
              <w:i/>
            </w:rPr>
            <w:fldChar w:fldCharType="separate"/>
          </w:r>
          <w:r w:rsidR="007D1C3C" w:rsidRPr="007D1C3C">
            <w:rPr>
              <w:noProof/>
            </w:rPr>
            <w:t>(</w:t>
          </w:r>
          <w:bookmarkStart w:id="231" w:name="Mey06_162"/>
          <w:r w:rsidR="007D1C3C" w:rsidRPr="007D1C3C">
            <w:rPr>
              <w:noProof/>
            </w:rPr>
            <w:t>Meyerhoff, 2006</w:t>
          </w:r>
          <w:r w:rsidR="007D1C3C" w:rsidRPr="007D1C3C">
            <w:rPr>
              <w:noProof/>
              <w:vertAlign w:val="subscript"/>
            </w:rPr>
            <w:t>[162]</w:t>
          </w:r>
          <w:r w:rsidR="007D1C3C" w:rsidRPr="007D1C3C">
            <w:rPr>
              <w:noProof/>
            </w:rPr>
            <w:t>)</w:t>
          </w:r>
          <w:bookmarkEnd w:id="231"/>
          <w:r w:rsidR="007D1C3C">
            <w:rPr>
              <w:i/>
            </w:rPr>
            <w:fldChar w:fldCharType="end"/>
          </w:r>
        </w:sdtContent>
      </w:sdt>
      <w:r w:rsidRPr="00AF3F90">
        <w:t>. The practice of code-</w:t>
      </w:r>
      <w:r w:rsidRPr="00AF3F90">
        <w:lastRenderedPageBreak/>
        <w:t xml:space="preserve">switching is widespread in multilingual communities </w:t>
      </w:r>
      <w:sdt>
        <w:sdtPr>
          <w:id w:val="508025012"/>
          <w:citation/>
        </w:sdtPr>
        <w:sdtEndPr/>
        <w:sdtContent>
          <w:r w:rsidR="007D1C3C">
            <w:fldChar w:fldCharType="begin"/>
          </w:r>
          <w:r w:rsidR="007D1C3C">
            <w:instrText xml:space="preserve">CITATION Bac15 \l 2057 </w:instrText>
          </w:r>
          <w:r w:rsidR="007D1C3C">
            <w:fldChar w:fldCharType="separate"/>
          </w:r>
          <w:r w:rsidR="007D1C3C" w:rsidRPr="007D1C3C">
            <w:rPr>
              <w:noProof/>
            </w:rPr>
            <w:t>(</w:t>
          </w:r>
          <w:bookmarkStart w:id="232" w:name="Bac15_163"/>
          <w:r w:rsidR="007D1C3C" w:rsidRPr="007D1C3C">
            <w:rPr>
              <w:noProof/>
            </w:rPr>
            <w:t>Backus, 2015</w:t>
          </w:r>
          <w:r w:rsidR="007D1C3C" w:rsidRPr="007D1C3C">
            <w:rPr>
              <w:noProof/>
              <w:vertAlign w:val="subscript"/>
            </w:rPr>
            <w:t>[163]</w:t>
          </w:r>
          <w:r w:rsidR="007D1C3C" w:rsidRPr="007D1C3C">
            <w:rPr>
              <w:noProof/>
            </w:rPr>
            <w:t>)</w:t>
          </w:r>
          <w:bookmarkEnd w:id="232"/>
          <w:r w:rsidR="007D1C3C">
            <w:fldChar w:fldCharType="end"/>
          </w:r>
        </w:sdtContent>
      </w:sdt>
      <w:r w:rsidRPr="00AF3F90">
        <w:t>. People may move between their languages, depending on who they are speaking to</w:t>
      </w:r>
      <w:r>
        <w:t xml:space="preserve"> or</w:t>
      </w:r>
      <w:r w:rsidRPr="00AF3F90">
        <w:t xml:space="preserve"> what they are speaking about. People may ordinarily switch back and forth between two languages after every sentence or two when they talk to one another. They may even </w:t>
      </w:r>
      <w:r w:rsidR="00802DDB">
        <w:t xml:space="preserve">use </w:t>
      </w:r>
      <w:r w:rsidRPr="00AF3F90">
        <w:t xml:space="preserve">words from </w:t>
      </w:r>
      <w:r w:rsidR="00802DDB">
        <w:t xml:space="preserve">several different </w:t>
      </w:r>
      <w:r w:rsidRPr="00AF3F90">
        <w:t>language</w:t>
      </w:r>
      <w:r w:rsidR="00802DDB">
        <w:t>s</w:t>
      </w:r>
      <w:r w:rsidRPr="00AF3F90">
        <w:t xml:space="preserve"> in one sentence. For many conversational partners whose language repertoires and practices match this is a totally normal communication pattern and speakers are not really aware of doing it in the moment. </w:t>
      </w:r>
    </w:p>
    <w:p w14:paraId="1BE0003D" w14:textId="19CF602C" w:rsidR="006145A3" w:rsidRPr="00AF3F90" w:rsidRDefault="006145A3" w:rsidP="006145A3">
      <w:pPr>
        <w:pStyle w:val="Para0"/>
      </w:pPr>
      <w:r w:rsidRPr="00AF3F90">
        <w:t xml:space="preserve">Translanguaging is a more recent term that has entered research on bilingualism. It was coined for (adult) bilingual behaviour and the natural facility in interactions between bilinguals with shared language repertoires to move fluidly between languages </w:t>
      </w:r>
      <w:sdt>
        <w:sdtPr>
          <w:id w:val="1840109746"/>
          <w:citation/>
        </w:sdtPr>
        <w:sdtEndPr/>
        <w:sdtContent>
          <w:r w:rsidR="007D1C3C">
            <w:fldChar w:fldCharType="begin"/>
          </w:r>
          <w:r w:rsidR="007D1C3C">
            <w:instrText xml:space="preserve"> CITATION Gar14 \l 2057  \m Wei11</w:instrText>
          </w:r>
          <w:r w:rsidR="007D1C3C">
            <w:fldChar w:fldCharType="separate"/>
          </w:r>
          <w:r w:rsidR="007D1C3C" w:rsidRPr="007D1C3C">
            <w:rPr>
              <w:noProof/>
            </w:rPr>
            <w:t>(García and Wei, 2014</w:t>
          </w:r>
          <w:r w:rsidR="007D1C3C" w:rsidRPr="007D1C3C">
            <w:rPr>
              <w:noProof/>
              <w:vertAlign w:val="subscript"/>
            </w:rPr>
            <w:t>[128]</w:t>
          </w:r>
          <w:r w:rsidR="007D1C3C" w:rsidRPr="007D1C3C">
            <w:rPr>
              <w:noProof/>
            </w:rPr>
            <w:t>; Wei, 2011</w:t>
          </w:r>
          <w:r w:rsidR="007D1C3C" w:rsidRPr="007D1C3C">
            <w:rPr>
              <w:noProof/>
              <w:vertAlign w:val="subscript"/>
            </w:rPr>
            <w:t>[129]</w:t>
          </w:r>
          <w:r w:rsidR="007D1C3C" w:rsidRPr="007D1C3C">
            <w:rPr>
              <w:noProof/>
            </w:rPr>
            <w:t>)</w:t>
          </w:r>
          <w:r w:rsidR="007D1C3C">
            <w:fldChar w:fldCharType="end"/>
          </w:r>
        </w:sdtContent>
      </w:sdt>
      <w:r w:rsidRPr="00AF3F90">
        <w:t xml:space="preserve">. The usage of the term is not settled in classroom contexts yet, but it has been applied to approaches that: </w:t>
      </w:r>
    </w:p>
    <w:p w14:paraId="7B75D370" w14:textId="77777777" w:rsidR="006145A3" w:rsidRPr="00723D09" w:rsidRDefault="006145A3" w:rsidP="006145A3">
      <w:pPr>
        <w:pStyle w:val="BulletedList"/>
      </w:pPr>
      <w:r w:rsidRPr="00723D09">
        <w:t>value students' languages</w:t>
      </w:r>
    </w:p>
    <w:p w14:paraId="723D6120" w14:textId="77777777" w:rsidR="006145A3" w:rsidRPr="00723D09" w:rsidRDefault="006145A3" w:rsidP="006145A3">
      <w:pPr>
        <w:pStyle w:val="BulletedList"/>
      </w:pPr>
      <w:r w:rsidRPr="00723D09">
        <w:t>allow/encourage students to use all their languages</w:t>
      </w:r>
    </w:p>
    <w:p w14:paraId="37C40921" w14:textId="77777777" w:rsidR="006145A3" w:rsidRPr="00723D09" w:rsidRDefault="006145A3" w:rsidP="006145A3">
      <w:pPr>
        <w:pStyle w:val="BulletedList"/>
      </w:pPr>
      <w:r w:rsidRPr="00723D09">
        <w:t xml:space="preserve">are comfortable with students moving between their languages and mixing them. </w:t>
      </w:r>
    </w:p>
    <w:p w14:paraId="769EFE3E" w14:textId="5EDE57EC" w:rsidR="006145A3" w:rsidRPr="00AF3F90" w:rsidRDefault="006145A3" w:rsidP="006145A3">
      <w:pPr>
        <w:pStyle w:val="Para0"/>
      </w:pPr>
      <w:r>
        <w:t>While “code-switching”</w:t>
      </w:r>
      <w:r w:rsidRPr="00AF3F90">
        <w:t xml:space="preserve"> as described above covers these behaviours, in some </w:t>
      </w:r>
      <w:r>
        <w:t>classroom language pedagogy, “</w:t>
      </w:r>
      <w:r w:rsidRPr="00AF3F90">
        <w:t>code-switching</w:t>
      </w:r>
      <w:r>
        <w:t>”</w:t>
      </w:r>
      <w:r w:rsidRPr="00AF3F90">
        <w:t xml:space="preserve"> </w:t>
      </w:r>
      <w:r w:rsidR="00802DDB">
        <w:t xml:space="preserve">is also applied </w:t>
      </w:r>
      <w:r w:rsidRPr="00AF3F90">
        <w:t xml:space="preserve">to purposeful and controlled changes between languages. </w:t>
      </w:r>
    </w:p>
    <w:p w14:paraId="4C8C86C3" w14:textId="14ED44C7" w:rsidR="006145A3" w:rsidRPr="00DE6C5F" w:rsidRDefault="00802DDB" w:rsidP="006145A3">
      <w:pPr>
        <w:pStyle w:val="Para0"/>
      </w:pPr>
      <w:r>
        <w:t xml:space="preserve">A particular strength that </w:t>
      </w:r>
      <w:r w:rsidR="006145A3" w:rsidRPr="00AF3F90">
        <w:t xml:space="preserve">translanguaging </w:t>
      </w:r>
      <w:r>
        <w:t xml:space="preserve">research offers for the classroom is that it seeks </w:t>
      </w:r>
      <w:r w:rsidR="006145A3" w:rsidRPr="00AF3F90">
        <w:t>in particular to overcome the stigm</w:t>
      </w:r>
      <w:r w:rsidR="006145A3">
        <w:t xml:space="preserve">atisation </w:t>
      </w:r>
      <w:r>
        <w:t xml:space="preserve">that </w:t>
      </w:r>
      <w:r w:rsidR="006145A3">
        <w:t>“code-switching</w:t>
      </w:r>
      <w:r>
        <w:t>/translanguaging</w:t>
      </w:r>
      <w:r w:rsidR="006145A3">
        <w:t xml:space="preserve">” </w:t>
      </w:r>
      <w:r>
        <w:t>i</w:t>
      </w:r>
      <w:r w:rsidR="006145A3">
        <w:t>s “</w:t>
      </w:r>
      <w:r w:rsidR="006145A3" w:rsidRPr="00AF3F90">
        <w:t>s</w:t>
      </w:r>
      <w:r w:rsidR="006145A3">
        <w:t>peaking poorly in each language”</w:t>
      </w:r>
      <w:r w:rsidR="006145A3" w:rsidRPr="00AF3F90">
        <w:t>.</w:t>
      </w:r>
      <w:r>
        <w:t xml:space="preserve"> Linguistic analyses of code-switching generally point to the bilingual competence of the speakers. </w:t>
      </w:r>
    </w:p>
    <w:p w14:paraId="461AB298" w14:textId="6CD80B4A" w:rsidR="006145A3" w:rsidRDefault="00802DDB" w:rsidP="0023329C">
      <w:pPr>
        <w:pStyle w:val="Heading1"/>
        <w:framePr w:w="11609" w:wrap="notBeside" w:x="1276"/>
        <w:numPr>
          <w:ilvl w:val="0"/>
          <w:numId w:val="22"/>
        </w:numPr>
        <w:ind w:left="1077" w:hanging="964"/>
      </w:pPr>
      <w:bookmarkStart w:id="233" w:name="_Toc95824111"/>
      <w:r>
        <w:lastRenderedPageBreak/>
        <w:t>Understanding l</w:t>
      </w:r>
      <w:r w:rsidR="006145A3" w:rsidRPr="00723D09">
        <w:t>anguage ecologies</w:t>
      </w:r>
      <w:bookmarkEnd w:id="233"/>
    </w:p>
    <w:p w14:paraId="09423D33" w14:textId="0EBA44C3" w:rsidR="006145A3" w:rsidRPr="00CA25FF" w:rsidRDefault="006145A3" w:rsidP="006145A3">
      <w:pPr>
        <w:pStyle w:val="Para0"/>
        <w:rPr>
          <w:lang w:val="en-AU"/>
        </w:rPr>
      </w:pPr>
      <w:r w:rsidRPr="00CA25FF">
        <w:rPr>
          <w:lang w:val="en-AU"/>
        </w:rPr>
        <w:t xml:space="preserve">Indigenous peoples have common ground when it comes to </w:t>
      </w:r>
      <w:r>
        <w:rPr>
          <w:lang w:val="en-AU"/>
        </w:rPr>
        <w:t xml:space="preserve">wishing to </w:t>
      </w:r>
      <w:r w:rsidRPr="00CA25FF">
        <w:rPr>
          <w:lang w:val="en-AU"/>
        </w:rPr>
        <w:t>includ</w:t>
      </w:r>
      <w:r>
        <w:rPr>
          <w:lang w:val="en-AU"/>
        </w:rPr>
        <w:t>e</w:t>
      </w:r>
      <w:r w:rsidRPr="00CA25FF">
        <w:rPr>
          <w:lang w:val="en-AU"/>
        </w:rPr>
        <w:t xml:space="preserve"> Indigenous languages in schools. Moreover, the </w:t>
      </w:r>
      <w:r w:rsidRPr="001F759B">
        <w:t>Promising</w:t>
      </w:r>
      <w:r w:rsidRPr="00CA25FF">
        <w:rPr>
          <w:lang w:val="en-AU"/>
        </w:rPr>
        <w:t xml:space="preserve"> Practices project, to which this working paper contributes, has found that Indigenous students want access to their languages in school settings </w:t>
      </w:r>
      <w:sdt>
        <w:sdtPr>
          <w:rPr>
            <w:lang w:val="en-AU"/>
          </w:rPr>
          <w:id w:val="1101379537"/>
          <w:citation/>
        </w:sdtPr>
        <w:sdtEndPr/>
        <w:sdtContent>
          <w:r w:rsidR="0023329C">
            <w:rPr>
              <w:lang w:val="en-AU"/>
            </w:rPr>
            <w:fldChar w:fldCharType="begin"/>
          </w:r>
          <w:r w:rsidR="0023329C">
            <w:instrText xml:space="preserve"> CITATION OEC171 \l 2057 </w:instrText>
          </w:r>
          <w:r w:rsidR="0023329C">
            <w:rPr>
              <w:lang w:val="en-AU"/>
            </w:rPr>
            <w:fldChar w:fldCharType="separate"/>
          </w:r>
          <w:r w:rsidR="0023329C" w:rsidRPr="0023329C">
            <w:rPr>
              <w:noProof/>
            </w:rPr>
            <w:t>(</w:t>
          </w:r>
          <w:bookmarkStart w:id="234" w:name="OEC171_164"/>
          <w:r w:rsidR="0023329C" w:rsidRPr="0023329C">
            <w:rPr>
              <w:noProof/>
            </w:rPr>
            <w:t>OECD, 2017</w:t>
          </w:r>
          <w:r w:rsidR="0023329C" w:rsidRPr="0023329C">
            <w:rPr>
              <w:noProof/>
              <w:vertAlign w:val="subscript"/>
            </w:rPr>
            <w:t>[164]</w:t>
          </w:r>
          <w:r w:rsidR="0023329C" w:rsidRPr="0023329C">
            <w:rPr>
              <w:noProof/>
            </w:rPr>
            <w:t>)</w:t>
          </w:r>
          <w:bookmarkEnd w:id="234"/>
          <w:r w:rsidR="0023329C">
            <w:rPr>
              <w:lang w:val="en-AU"/>
            </w:rPr>
            <w:fldChar w:fldCharType="end"/>
          </w:r>
        </w:sdtContent>
      </w:sdt>
      <w:r w:rsidRPr="00CA25FF">
        <w:rPr>
          <w:lang w:val="en-AU"/>
        </w:rPr>
        <w:t xml:space="preserve">. </w:t>
      </w:r>
    </w:p>
    <w:p w14:paraId="4D32880C" w14:textId="77777777" w:rsidR="006145A3" w:rsidRPr="00CA25FF" w:rsidRDefault="006145A3" w:rsidP="006145A3">
      <w:pPr>
        <w:pStyle w:val="Para0"/>
        <w:rPr>
          <w:lang w:val="en-AU"/>
        </w:rPr>
      </w:pPr>
      <w:r w:rsidRPr="00CA25FF">
        <w:rPr>
          <w:lang w:val="en-AU"/>
        </w:rPr>
        <w:t>Supporting this common goal of including Indigenous languages in schooling, however, involves diverse pathways with different starting points and different contextual requirements. These range across contexts where Indigenous groups:</w:t>
      </w:r>
    </w:p>
    <w:p w14:paraId="269A08E1" w14:textId="77777777" w:rsidR="006145A3" w:rsidRPr="0082641F" w:rsidRDefault="006145A3" w:rsidP="006145A3">
      <w:pPr>
        <w:pStyle w:val="BulletedList"/>
      </w:pPr>
      <w:r w:rsidRPr="0082641F">
        <w:t xml:space="preserve">are proudly reawakening, rebuilding and learning their languages; </w:t>
      </w:r>
    </w:p>
    <w:p w14:paraId="7E537561" w14:textId="77777777" w:rsidR="006145A3" w:rsidRPr="0082641F" w:rsidRDefault="006145A3" w:rsidP="006145A3">
      <w:pPr>
        <w:pStyle w:val="BulletedList"/>
      </w:pPr>
      <w:r w:rsidRPr="0082641F">
        <w:t>have older generations who are working to reintroduce their language to youth;</w:t>
      </w:r>
    </w:p>
    <w:p w14:paraId="62CAFBAE" w14:textId="77777777" w:rsidR="006145A3" w:rsidRPr="0082641F" w:rsidRDefault="006145A3" w:rsidP="006145A3">
      <w:pPr>
        <w:pStyle w:val="BulletedList"/>
      </w:pPr>
      <w:r w:rsidRPr="0082641F">
        <w:t xml:space="preserve">are striving to maintain transmission for new generations of mother tongue speakers. </w:t>
      </w:r>
    </w:p>
    <w:p w14:paraId="20261C5A" w14:textId="25B8F0ED" w:rsidR="006145A3" w:rsidRDefault="006145A3" w:rsidP="006145A3">
      <w:pPr>
        <w:pStyle w:val="Para0"/>
        <w:rPr>
          <w:lang w:val="en-AU"/>
        </w:rPr>
      </w:pPr>
      <w:r w:rsidRPr="00CA25FF">
        <w:rPr>
          <w:lang w:val="en-AU"/>
        </w:rPr>
        <w:t xml:space="preserve">It is intended as a mark of respect for Indigenous people's aspirations and efforts for their languages that this diversity is </w:t>
      </w:r>
      <w:r w:rsidR="005C35BB">
        <w:rPr>
          <w:lang w:val="en-AU"/>
        </w:rPr>
        <w:t xml:space="preserve">outlined </w:t>
      </w:r>
      <w:r w:rsidRPr="00CA25FF">
        <w:rPr>
          <w:lang w:val="en-AU"/>
        </w:rPr>
        <w:t xml:space="preserve">here. </w:t>
      </w:r>
    </w:p>
    <w:p w14:paraId="711A6FE0" w14:textId="77777777" w:rsidR="006145A3" w:rsidRPr="00CA25FF" w:rsidRDefault="006145A3" w:rsidP="006145A3">
      <w:pPr>
        <w:pStyle w:val="Para0"/>
      </w:pPr>
      <w:r w:rsidRPr="001E5AE1">
        <w:t xml:space="preserve">This </w:t>
      </w:r>
      <w:r>
        <w:t>section</w:t>
      </w:r>
      <w:r w:rsidRPr="00B931E6">
        <w:t xml:space="preserve"> </w:t>
      </w:r>
      <w:r>
        <w:t xml:space="preserve">outlines </w:t>
      </w:r>
      <w:r w:rsidRPr="001E5AE1">
        <w:t xml:space="preserve">basic differences in </w:t>
      </w:r>
      <w:r w:rsidRPr="00CA25FF">
        <w:t>Indigenous language ecologies</w:t>
      </w:r>
      <w:r>
        <w:t xml:space="preserve"> – </w:t>
      </w:r>
      <w:r w:rsidRPr="00CA25FF">
        <w:t xml:space="preserve">first language speakers of traditional languages and new languages, second language learners of traditional languages, </w:t>
      </w:r>
      <w:r>
        <w:t xml:space="preserve">and </w:t>
      </w:r>
      <w:r w:rsidRPr="00CA25FF">
        <w:t>second language learners of national languages</w:t>
      </w:r>
    </w:p>
    <w:p w14:paraId="04BE30BE" w14:textId="77777777" w:rsidR="006145A3" w:rsidRPr="00C076D4" w:rsidRDefault="006145A3" w:rsidP="006145A3">
      <w:pPr>
        <w:pStyle w:val="Heading3"/>
        <w:numPr>
          <w:ilvl w:val="2"/>
          <w:numId w:val="22"/>
        </w:numPr>
      </w:pPr>
      <w:r w:rsidRPr="00C076D4">
        <w:t xml:space="preserve">Terms for </w:t>
      </w:r>
      <w:r w:rsidRPr="0082641F">
        <w:t>languages</w:t>
      </w:r>
      <w:r w:rsidRPr="00C076D4">
        <w:t xml:space="preserve">, </w:t>
      </w:r>
      <w:r w:rsidRPr="001F759B">
        <w:t>their</w:t>
      </w:r>
      <w:r w:rsidRPr="00C076D4">
        <w:t xml:space="preserve"> speakers and learners</w:t>
      </w:r>
    </w:p>
    <w:p w14:paraId="0F60ADA9" w14:textId="77777777" w:rsidR="006145A3" w:rsidRPr="00CA25FF" w:rsidRDefault="006145A3" w:rsidP="006145A3">
      <w:pPr>
        <w:pStyle w:val="Para0"/>
      </w:pPr>
      <w:r w:rsidRPr="001E5AE1">
        <w:rPr>
          <w:lang w:val="en-AU"/>
        </w:rPr>
        <w:t xml:space="preserve">A language that is spoken as the </w:t>
      </w:r>
      <w:r w:rsidRPr="00CA25FF">
        <w:rPr>
          <w:lang w:val="en-AU"/>
        </w:rPr>
        <w:t xml:space="preserve">main everyday language of communication can be called a vernacular. </w:t>
      </w:r>
      <w:r w:rsidRPr="00CA25FF">
        <w:t>The vernacular spoken in a particular place by a group of people is usually the most effective way of disseminating information, including classroom instruction.</w:t>
      </w:r>
    </w:p>
    <w:p w14:paraId="0AF2EE8F" w14:textId="77777777" w:rsidR="006145A3" w:rsidRPr="00CA25FF" w:rsidRDefault="006145A3" w:rsidP="006145A3">
      <w:pPr>
        <w:pStyle w:val="Para0"/>
        <w:rPr>
          <w:lang w:val="en-AU"/>
        </w:rPr>
      </w:pPr>
      <w:r w:rsidRPr="00CA25FF">
        <w:rPr>
          <w:lang w:val="en-AU"/>
        </w:rPr>
        <w:t>Owing to the effects of settler-col</w:t>
      </w:r>
      <w:r>
        <w:rPr>
          <w:lang w:val="en-AU"/>
        </w:rPr>
        <w:t>onial societies in Aotearoa New </w:t>
      </w:r>
      <w:r w:rsidRPr="00CA25FF">
        <w:rPr>
          <w:lang w:val="en-AU"/>
        </w:rPr>
        <w:t xml:space="preserve">Zealand, Australia and Canada, the vernacular of contemporary Indigenous peoples in these countries could be any one of these different kinds of languages: </w:t>
      </w:r>
    </w:p>
    <w:p w14:paraId="24B6A656" w14:textId="77777777" w:rsidR="006145A3" w:rsidRPr="0082641F" w:rsidRDefault="006145A3" w:rsidP="006145A3">
      <w:pPr>
        <w:pStyle w:val="BulletedList"/>
      </w:pPr>
      <w:r w:rsidRPr="0082641F">
        <w:t>a traditional Indigenous language, with a history reaching back before colonisation</w:t>
      </w:r>
    </w:p>
    <w:p w14:paraId="0E180889" w14:textId="77777777" w:rsidR="006145A3" w:rsidRPr="0082641F" w:rsidRDefault="006145A3" w:rsidP="006145A3">
      <w:pPr>
        <w:pStyle w:val="BulletedList"/>
      </w:pPr>
      <w:r w:rsidRPr="0082641F">
        <w:t>a new Indigenous language, like a creole or mixed language, that developed in post-colonisation times</w:t>
      </w:r>
    </w:p>
    <w:p w14:paraId="4B0C3AB3" w14:textId="77777777" w:rsidR="006145A3" w:rsidRPr="0082641F" w:rsidRDefault="006145A3" w:rsidP="006145A3">
      <w:pPr>
        <w:pStyle w:val="BulletedList"/>
      </w:pPr>
      <w:r w:rsidRPr="0082641F">
        <w:t>a national language, English or French, associated with mainstream institutions and services</w:t>
      </w:r>
    </w:p>
    <w:p w14:paraId="2F34B115" w14:textId="04BAD03D" w:rsidR="006145A3" w:rsidRPr="0082641F" w:rsidRDefault="006145A3" w:rsidP="006145A3">
      <w:pPr>
        <w:pStyle w:val="BulletedList"/>
      </w:pPr>
      <w:r w:rsidRPr="0082641F">
        <w:t>an Indigenised variety, such as an English that indexes speakers' Indigenous identities, sometimes very different from the standard variety norms.</w:t>
      </w:r>
    </w:p>
    <w:p w14:paraId="137A341F" w14:textId="2E2DC19E" w:rsidR="006145A3" w:rsidRPr="00CA25FF" w:rsidRDefault="006145A3" w:rsidP="006145A3">
      <w:pPr>
        <w:pStyle w:val="Para0"/>
      </w:pPr>
      <w:r w:rsidRPr="001E5AE1">
        <w:t xml:space="preserve">The </w:t>
      </w:r>
      <w:r w:rsidRPr="00CA25FF">
        <w:t xml:space="preserve">constellation of languages used in each community differs from place to place, as does the extent to which each language is spoken. This is what is termed a language ecology: which languages are generally spoken in a given place, </w:t>
      </w:r>
      <w:r w:rsidR="00AB5D56">
        <w:t xml:space="preserve">to whom </w:t>
      </w:r>
      <w:r w:rsidRPr="00CA25FF">
        <w:t xml:space="preserve">and to what extent. The make-up of the local language ecology suggests how youngsters will have differential experiences of the languages around them. They will learn the languages they interact in most, and will need support learning those, which they are less exposed to. </w:t>
      </w:r>
    </w:p>
    <w:p w14:paraId="522E334C" w14:textId="77777777" w:rsidR="006145A3" w:rsidRPr="00CA25FF" w:rsidRDefault="006145A3" w:rsidP="006145A3">
      <w:pPr>
        <w:pStyle w:val="Para0"/>
      </w:pPr>
      <w:r w:rsidRPr="00CA25FF">
        <w:t xml:space="preserve">Languages acquired from birth are called first languages, or mother tongues. Babies and very young children typically acquire their first languages fully and automatically through interactions with their </w:t>
      </w:r>
      <w:r w:rsidRPr="00CA25FF">
        <w:lastRenderedPageBreak/>
        <w:t>immediate family</w:t>
      </w:r>
      <w:r>
        <w:t xml:space="preserve"> and other </w:t>
      </w:r>
      <w:r w:rsidRPr="00CA25FF">
        <w:t>caregiver</w:t>
      </w:r>
      <w:r>
        <w:t>s</w:t>
      </w:r>
      <w:r w:rsidRPr="00CA25FF">
        <w:t xml:space="preserve">. Through their first language(s), young children experience and learn their culture and engage with their world. </w:t>
      </w:r>
    </w:p>
    <w:p w14:paraId="5172C0A0" w14:textId="77777777" w:rsidR="006145A3" w:rsidRPr="00CA25FF" w:rsidRDefault="006145A3" w:rsidP="006145A3">
      <w:pPr>
        <w:pStyle w:val="Para0"/>
      </w:pPr>
      <w:r w:rsidRPr="00CA25FF">
        <w:t>Languages learned subsequently to these first languages are called second languages, or additional languages. In education contexts, these are often called target languages, because they are the target of language teaching and learning. Second language learners of their heritage Indigenous language can experience additional connection with cultural knowledges and practices.</w:t>
      </w:r>
    </w:p>
    <w:p w14:paraId="3A54A80C" w14:textId="36C8A91D" w:rsidR="006145A3" w:rsidRPr="00CA25FF" w:rsidRDefault="006145A3" w:rsidP="006145A3">
      <w:pPr>
        <w:pStyle w:val="Para0"/>
      </w:pPr>
      <w:r w:rsidRPr="00CA25FF">
        <w:t xml:space="preserve">Second language learning has widely different individual learning outcomes, from beginner proficiency (maybe with some words and rote-learned phrases) through to full proficiency, depending on available learning opportunities. In contrast, first language learners become fully proficient users of their language, unless a specific </w:t>
      </w:r>
      <w:r w:rsidR="00AB5D56">
        <w:t xml:space="preserve">learning difficulty </w:t>
      </w:r>
      <w:r w:rsidRPr="00CA25FF">
        <w:t xml:space="preserve">prevents this. Proficiency refers to a generalisable amount known of a particular language, in spoken and/or written modes. </w:t>
      </w:r>
    </w:p>
    <w:p w14:paraId="06603141" w14:textId="6597B529" w:rsidR="006145A3" w:rsidRDefault="006145A3" w:rsidP="006145A3">
      <w:pPr>
        <w:pStyle w:val="Para0"/>
      </w:pPr>
      <w:r w:rsidRPr="00CA25FF">
        <w:t xml:space="preserve">A person who speaks just one language is monolingual. Many people acquire more than one language from babyhood and add other languages throughout their lives. On a world scale, most people are bilingual or multilingual </w:t>
      </w:r>
      <w:sdt>
        <w:sdtPr>
          <w:id w:val="-606650760"/>
          <w:citation/>
        </w:sdtPr>
        <w:sdtEndPr/>
        <w:sdtContent>
          <w:r w:rsidR="0044689D">
            <w:fldChar w:fldCharType="begin"/>
          </w:r>
          <w:r w:rsidR="0044689D">
            <w:instrText xml:space="preserve">CITATION Rom13 \l 2057 </w:instrText>
          </w:r>
          <w:r w:rsidR="0044689D">
            <w:fldChar w:fldCharType="separate"/>
          </w:r>
          <w:r w:rsidR="0044689D" w:rsidRPr="0044689D">
            <w:rPr>
              <w:noProof/>
            </w:rPr>
            <w:t>(</w:t>
          </w:r>
          <w:bookmarkStart w:id="235" w:name="Rom13_165"/>
          <w:r w:rsidR="0044689D" w:rsidRPr="0044689D">
            <w:rPr>
              <w:noProof/>
            </w:rPr>
            <w:t>Romaine, 2013</w:t>
          </w:r>
          <w:r w:rsidR="0044689D" w:rsidRPr="0044689D">
            <w:rPr>
              <w:noProof/>
              <w:vertAlign w:val="subscript"/>
            </w:rPr>
            <w:t>[165]</w:t>
          </w:r>
          <w:r w:rsidR="0044689D" w:rsidRPr="0044689D">
            <w:rPr>
              <w:noProof/>
            </w:rPr>
            <w:t>)</w:t>
          </w:r>
          <w:bookmarkEnd w:id="235"/>
          <w:r w:rsidR="0044689D">
            <w:fldChar w:fldCharType="end"/>
          </w:r>
        </w:sdtContent>
      </w:sdt>
      <w:r w:rsidRPr="00CA25FF">
        <w:t xml:space="preserve">. A person's language repertoire consists of the languages they speak, or understand, read or write with varying degrees of proficiency. Numerous social and historical factors impact on </w:t>
      </w:r>
      <w:r w:rsidR="005C35BB">
        <w:t xml:space="preserve">people's language repertoires. </w:t>
      </w:r>
    </w:p>
    <w:p w14:paraId="4B78D20E" w14:textId="6153E701" w:rsidR="006145A3" w:rsidRPr="00FE6625" w:rsidRDefault="006145A3" w:rsidP="006145A3">
      <w:pPr>
        <w:pStyle w:val="Heading2"/>
        <w:numPr>
          <w:ilvl w:val="1"/>
          <w:numId w:val="22"/>
        </w:numPr>
      </w:pPr>
      <w:bookmarkStart w:id="236" w:name="_Ref40109377"/>
      <w:bookmarkStart w:id="237" w:name="_Toc82093576"/>
      <w:bookmarkStart w:id="238" w:name="_Toc95824112"/>
      <w:r w:rsidRPr="00FE6625">
        <w:t xml:space="preserve">What </w:t>
      </w:r>
      <w:r w:rsidRPr="0082641F">
        <w:t>languages</w:t>
      </w:r>
      <w:r w:rsidRPr="00FE6625">
        <w:t xml:space="preserve"> do Indigenous peoples speak today?</w:t>
      </w:r>
      <w:bookmarkEnd w:id="236"/>
      <w:bookmarkEnd w:id="237"/>
      <w:bookmarkEnd w:id="238"/>
    </w:p>
    <w:p w14:paraId="751F4923" w14:textId="77777777" w:rsidR="006145A3" w:rsidRPr="00A53755" w:rsidRDefault="006145A3" w:rsidP="006145A3">
      <w:pPr>
        <w:pStyle w:val="Para0"/>
      </w:pPr>
      <w:r w:rsidRPr="00A53755">
        <w:t xml:space="preserve">Contemporary Indigenous people may speak various types of languages. One way to categorise some of the typical languages in their repertoires is according to their social or historical roots. As mentioned above, these would generally include one or more of: </w:t>
      </w:r>
    </w:p>
    <w:p w14:paraId="4C45ACB0" w14:textId="77777777" w:rsidR="006145A3" w:rsidRPr="0082641F" w:rsidRDefault="006145A3" w:rsidP="006145A3">
      <w:pPr>
        <w:pStyle w:val="BulletedList"/>
      </w:pPr>
      <w:r w:rsidRPr="0082641F">
        <w:t>A traditional Indigenous language, with a history reaching back before colonisation</w:t>
      </w:r>
    </w:p>
    <w:p w14:paraId="27FEC836" w14:textId="77777777" w:rsidR="006145A3" w:rsidRPr="0082641F" w:rsidRDefault="006145A3" w:rsidP="006145A3">
      <w:pPr>
        <w:pStyle w:val="BulletedList"/>
      </w:pPr>
      <w:r w:rsidRPr="0082641F">
        <w:t>A new Indigenous language, like a creole or mixed language, that developed in post-colonial times</w:t>
      </w:r>
    </w:p>
    <w:p w14:paraId="74538526" w14:textId="77777777" w:rsidR="006145A3" w:rsidRPr="0082641F" w:rsidRDefault="006145A3" w:rsidP="006145A3">
      <w:pPr>
        <w:pStyle w:val="BulletedList"/>
      </w:pPr>
      <w:r w:rsidRPr="0082641F">
        <w:t>A national language, English or French, associated with settler-colonial society and mainstream institutions and services</w:t>
      </w:r>
    </w:p>
    <w:p w14:paraId="4327F239" w14:textId="77777777" w:rsidR="006145A3" w:rsidRPr="0082641F" w:rsidRDefault="006145A3" w:rsidP="006145A3">
      <w:pPr>
        <w:pStyle w:val="BulletedList"/>
      </w:pPr>
      <w:r w:rsidRPr="0082641F">
        <w:t>An Indigenised variety, such as an English that expresses speakers' Indigenous identities.</w:t>
      </w:r>
    </w:p>
    <w:p w14:paraId="6E845271" w14:textId="77777777" w:rsidR="006145A3" w:rsidRPr="002650B3" w:rsidRDefault="006145A3" w:rsidP="006145A3">
      <w:pPr>
        <w:pStyle w:val="Para0"/>
      </w:pPr>
      <w:r w:rsidRPr="002650B3">
        <w:t>The strong connections most Indigenous peoples feel for their traditional language(s) are not dependent on the degree of proficiency with which it is sp</w:t>
      </w:r>
      <w:r>
        <w:t>oken. This represents the “</w:t>
      </w:r>
      <w:r w:rsidRPr="002650B3">
        <w:t>common ground</w:t>
      </w:r>
      <w:r>
        <w:t>”</w:t>
      </w:r>
      <w:r w:rsidRPr="002650B3">
        <w:t xml:space="preserve"> between the diverse Indigenous peoples in Aotearoa New</w:t>
      </w:r>
      <w:r>
        <w:t> </w:t>
      </w:r>
      <w:r w:rsidRPr="002650B3">
        <w:t xml:space="preserve">Zealand, Australia and Canada. </w:t>
      </w:r>
    </w:p>
    <w:p w14:paraId="655B9BCE" w14:textId="77777777" w:rsidR="006145A3" w:rsidRPr="002650B3" w:rsidRDefault="006145A3" w:rsidP="006145A3">
      <w:pPr>
        <w:pStyle w:val="Para0"/>
      </w:pPr>
      <w:r w:rsidRPr="002650B3">
        <w:t xml:space="preserve">Within their community, Indigenous people's current language repertoires comprise their local language </w:t>
      </w:r>
      <w:r>
        <w:t>ecology, which provides guidance on</w:t>
      </w:r>
      <w:r w:rsidRPr="002650B3">
        <w:t>:</w:t>
      </w:r>
    </w:p>
    <w:p w14:paraId="06751744" w14:textId="77777777" w:rsidR="006145A3" w:rsidRPr="0082641F" w:rsidRDefault="006145A3" w:rsidP="006145A3">
      <w:pPr>
        <w:pStyle w:val="BulletedList"/>
      </w:pPr>
      <w:r w:rsidRPr="0082641F">
        <w:t>The most effective language programme design for each particular context</w:t>
      </w:r>
    </w:p>
    <w:p w14:paraId="550A2E9E" w14:textId="77777777" w:rsidR="006145A3" w:rsidRPr="0082641F" w:rsidRDefault="006145A3" w:rsidP="006145A3">
      <w:pPr>
        <w:pStyle w:val="BulletedList"/>
      </w:pPr>
      <w:r w:rsidRPr="0082641F">
        <w:t>The language learning goals of the Indigenous language programme</w:t>
      </w:r>
    </w:p>
    <w:p w14:paraId="02AB55F8" w14:textId="77777777" w:rsidR="006145A3" w:rsidRPr="0082641F" w:rsidRDefault="006145A3" w:rsidP="006145A3">
      <w:pPr>
        <w:pStyle w:val="BulletedList"/>
      </w:pPr>
      <w:r w:rsidRPr="0082641F">
        <w:t>The different kinds of benefits an Indigenous language programme will have on students’ well-being, such as enhancing identity</w:t>
      </w:r>
    </w:p>
    <w:p w14:paraId="020DB429" w14:textId="0641575C" w:rsidR="006145A3" w:rsidRPr="0082641F" w:rsidRDefault="006145A3" w:rsidP="006145A3">
      <w:pPr>
        <w:pStyle w:val="BulletedList"/>
      </w:pPr>
      <w:r w:rsidRPr="0082641F">
        <w:t>Other language measures required to address social equity issues, such as access to services in the national language, recognition of new Indigenous languages or Indigenised varieties</w:t>
      </w:r>
      <w:r w:rsidR="00AB5D56">
        <w:t xml:space="preserve"> of the national standard language/s</w:t>
      </w:r>
      <w:r w:rsidRPr="0082641F">
        <w:t>.</w:t>
      </w:r>
    </w:p>
    <w:p w14:paraId="62C52AB0" w14:textId="77777777" w:rsidR="006145A3" w:rsidRPr="00C076D4" w:rsidRDefault="006145A3" w:rsidP="006145A3">
      <w:pPr>
        <w:pStyle w:val="Heading3"/>
        <w:numPr>
          <w:ilvl w:val="2"/>
          <w:numId w:val="22"/>
        </w:numPr>
      </w:pPr>
      <w:r w:rsidRPr="00852D94">
        <w:t xml:space="preserve">Traditional Indigenous </w:t>
      </w:r>
      <w:r w:rsidRPr="00E5374A">
        <w:t>languages</w:t>
      </w:r>
    </w:p>
    <w:p w14:paraId="41038FB4" w14:textId="77777777" w:rsidR="006145A3" w:rsidRPr="00A53755" w:rsidRDefault="006145A3" w:rsidP="006145A3">
      <w:pPr>
        <w:pStyle w:val="Para0"/>
      </w:pPr>
      <w:r w:rsidRPr="00A53755">
        <w:t xml:space="preserve">Traditional Indigenous languages </w:t>
      </w:r>
      <w:r w:rsidRPr="00BF6B80">
        <w:t>pre-date settler-c</w:t>
      </w:r>
      <w:r>
        <w:t>olonial society in Aotearoa New </w:t>
      </w:r>
      <w:r w:rsidRPr="00BF6B80">
        <w:t xml:space="preserve">Zealand, Australia and Canada. They belong to their Indigenous language communities. Traditionally, these languages are associated with specific tracts of lands and seas of particular groups of Australian Aboriginal, Canadian </w:t>
      </w:r>
      <w:r w:rsidRPr="00BF6B80">
        <w:lastRenderedPageBreak/>
        <w:t>First Nations, Inuit, Māori, Métis and/or Torres Strait Islander peoples. They are closely connected with the knowledges, cultures and identities of their Indigenous custodians. These constitute some of the many common reasons for Indigenous peoples' advocacy for</w:t>
      </w:r>
      <w:r w:rsidRPr="00A53755">
        <w:t xml:space="preserve"> traditional languages programmes in schools. </w:t>
      </w:r>
    </w:p>
    <w:p w14:paraId="40ACC28F" w14:textId="77777777" w:rsidR="006145A3" w:rsidRPr="00BF6B80" w:rsidRDefault="006145A3" w:rsidP="006145A3">
      <w:pPr>
        <w:pStyle w:val="Para0"/>
      </w:pPr>
      <w:r w:rsidRPr="00A53755">
        <w:t>The settler col</w:t>
      </w:r>
      <w:r>
        <w:t>onial societies in Aotearoa New </w:t>
      </w:r>
      <w:r w:rsidRPr="00A53755">
        <w:t xml:space="preserve">Zealand, Australia and Canada minoritised Indigenous peoples and their traditional languages by </w:t>
      </w:r>
      <w:r w:rsidRPr="00BF6B80">
        <w:t xml:space="preserve">excluding them from many social, economic and educational domains. Such actions have led to a range of contemporary Indigenous language situations, where some are being reawakened, rebuilt and learned by adults, some still have older mother tongue speakers but intergenerational transmission has faltered and others are still learned as a mother tongue and spoken as the community vernacular. </w:t>
      </w:r>
    </w:p>
    <w:p w14:paraId="3EB0BD71" w14:textId="26E4E574" w:rsidR="006145A3" w:rsidRPr="00BF6B80" w:rsidRDefault="006145A3" w:rsidP="006145A3">
      <w:pPr>
        <w:pStyle w:val="Para0"/>
      </w:pPr>
      <w:r w:rsidRPr="00BF6B80">
        <w:t>In all their linguistic structures, traditional Indigenous languages differ completely from the national languages of European origin in Aotearoa New</w:t>
      </w:r>
      <w:r>
        <w:t> </w:t>
      </w:r>
      <w:r w:rsidRPr="00BF6B80">
        <w:t>Zealand, Aus</w:t>
      </w:r>
      <w:r>
        <w:t>tralia and Canada. Aotearoa New </w:t>
      </w:r>
      <w:r w:rsidRPr="00BF6B80">
        <w:t xml:space="preserve">Zealand has a single Indigenous language, Canada is home to around </w:t>
      </w:r>
      <w:r>
        <w:t>one</w:t>
      </w:r>
      <w:r w:rsidRPr="00BF6B80">
        <w:t xml:space="preserve"> hundred</w:t>
      </w:r>
      <w:r w:rsidR="00AB5D56">
        <w:t xml:space="preserve"> languages</w:t>
      </w:r>
      <w:r w:rsidRPr="00BF6B80">
        <w:t xml:space="preserve">, and Australia to around a few hundred (see Section </w:t>
      </w:r>
      <w:r w:rsidRPr="00BF6B80">
        <w:fldChar w:fldCharType="begin"/>
      </w:r>
      <w:r w:rsidRPr="00BF6B80">
        <w:instrText xml:space="preserve"> REF _Ref36364838 \r \h  \* MERGEFORMAT </w:instrText>
      </w:r>
      <w:r w:rsidRPr="00BF6B80">
        <w:fldChar w:fldCharType="separate"/>
      </w:r>
      <w:r w:rsidR="00CA5B8D">
        <w:rPr>
          <w:b/>
          <w:bCs/>
          <w:lang w:val="en-US"/>
        </w:rPr>
        <w:t>Error! Reference source not found.</w:t>
      </w:r>
      <w:r w:rsidRPr="00BF6B80">
        <w:fldChar w:fldCharType="end"/>
      </w:r>
      <w:r w:rsidRPr="00BF6B80">
        <w:t xml:space="preserve"> for discussion of numbers of languages and speakers). These traditional Indigenous languages are all highly complex languages, in many ways much more so than English for instance.</w:t>
      </w:r>
    </w:p>
    <w:p w14:paraId="1D607B8F" w14:textId="77777777" w:rsidR="006145A3" w:rsidRPr="00BF6B80" w:rsidRDefault="006145A3" w:rsidP="006145A3">
      <w:pPr>
        <w:pStyle w:val="Para0"/>
      </w:pPr>
      <w:r w:rsidRPr="00BF6B80">
        <w:t>Where traditional Indigenous languages are spoken as a vernacular their speakers communicate about all facets of contemporary life, like getting a drivers licence, playing football or doing homework, just like speakers of any other language. Often traditional Indigenous languages have been excluded from some domains of life such as from official uses like emergency health warnings, or school uses like the math</w:t>
      </w:r>
      <w:r>
        <w:t>ematic</w:t>
      </w:r>
      <w:r w:rsidRPr="00BF6B80">
        <w:t xml:space="preserve">s curriculum. In many cases, traditional languages have been excluded from peoples' lives for generations, so the languages have been sleeping and not (much) used for some time. Language engineering/rebuilding initiatives with the language community generate and disseminate ways of talking about any such new areas. </w:t>
      </w:r>
    </w:p>
    <w:p w14:paraId="1970D8D2" w14:textId="77777777" w:rsidR="006145A3" w:rsidRPr="00852D94" w:rsidRDefault="006145A3" w:rsidP="006145A3">
      <w:pPr>
        <w:pStyle w:val="Heading3"/>
        <w:numPr>
          <w:ilvl w:val="2"/>
          <w:numId w:val="22"/>
        </w:numPr>
      </w:pPr>
      <w:bookmarkStart w:id="239" w:name="_Ref36640850"/>
      <w:r w:rsidRPr="00852D94">
        <w:t xml:space="preserve">New Indigenous languages: contact languages </w:t>
      </w:r>
      <w:bookmarkEnd w:id="239"/>
    </w:p>
    <w:p w14:paraId="193AA8CA" w14:textId="72467075" w:rsidR="006145A3" w:rsidRPr="00BF6B80" w:rsidRDefault="006145A3" w:rsidP="006145A3">
      <w:pPr>
        <w:pStyle w:val="Para0"/>
      </w:pPr>
      <w:r w:rsidRPr="00A53755">
        <w:t xml:space="preserve">New Indigenous (contact) languages have developed in the times of settler-colonial society. Under particular circumstances, </w:t>
      </w:r>
      <w:r w:rsidRPr="00BF6B80">
        <w:t>language contact processes have led to a contact language, like a creole or a mixed language</w:t>
      </w:r>
      <w:r>
        <w:t>. Sometimes these are called “</w:t>
      </w:r>
      <w:r w:rsidRPr="00BF6B80">
        <w:t>new Indigenous languages</w:t>
      </w:r>
      <w:r>
        <w:t>”</w:t>
      </w:r>
      <w:r w:rsidRPr="00BF6B80">
        <w:t xml:space="preserve">, emphasising their Indigenous speakership but their different historical roots. </w:t>
      </w:r>
      <w:r>
        <w:t>N</w:t>
      </w:r>
      <w:r w:rsidRPr="00BF6B80">
        <w:t xml:space="preserve">ew Indigenous </w:t>
      </w:r>
      <w:r w:rsidRPr="00F30195">
        <w:t xml:space="preserve">languages arise in contact situations, </w:t>
      </w:r>
      <w:r>
        <w:t>with</w:t>
      </w:r>
      <w:r w:rsidRPr="00F30195">
        <w:t xml:space="preserve"> </w:t>
      </w:r>
      <w:r w:rsidR="00AB5D56">
        <w:t xml:space="preserve">elements </w:t>
      </w:r>
      <w:r>
        <w:t xml:space="preserve">that </w:t>
      </w:r>
      <w:r w:rsidR="00AB5D56">
        <w:t xml:space="preserve">are influenced by </w:t>
      </w:r>
      <w:r w:rsidRPr="00F30195">
        <w:t>two or more source languages</w:t>
      </w:r>
      <w:r>
        <w:t>.</w:t>
      </w:r>
    </w:p>
    <w:p w14:paraId="7A69FF35" w14:textId="77777777" w:rsidR="006145A3" w:rsidRPr="00BF6B80" w:rsidRDefault="006145A3" w:rsidP="006145A3">
      <w:pPr>
        <w:pStyle w:val="Para0"/>
      </w:pPr>
      <w:r w:rsidRPr="00BF6B80">
        <w:t>These new Indigenous languages, or contact languages, have characteristics that can be traced back to traditional Indigenous language sources and to a co</w:t>
      </w:r>
      <w:r>
        <w:t>lonial language. Despite these “traces”</w:t>
      </w:r>
      <w:r w:rsidRPr="00BF6B80">
        <w:t>, contact languages are different from their source languages. For example, although the Canadian language Michif has French influences, it is not French, nor a kind of French</w:t>
      </w:r>
      <w:r>
        <w:t>.</w:t>
      </w:r>
      <w:r w:rsidRPr="00BF6B80">
        <w:t xml:space="preserve"> French speakers do not automatically understand Michif, they would have to learn it. </w:t>
      </w:r>
    </w:p>
    <w:p w14:paraId="4F708C70" w14:textId="77777777" w:rsidR="006145A3" w:rsidRPr="00BF6B80" w:rsidRDefault="006145A3" w:rsidP="006145A3">
      <w:pPr>
        <w:pStyle w:val="Para0"/>
      </w:pPr>
      <w:r w:rsidRPr="00BF6B80">
        <w:t>Some groups of Indigenous peoples in Australia and Canada may speak a new Indigenous contact language as their mother tongue and use it as their vernacular, their main everyday way for talking to each other. For instance, the Indigenous languages with the most speakers in Australia are these new Indigenous contact languages. In some places, the language shift to a contact language is a dynamic change currently in progress.</w:t>
      </w:r>
    </w:p>
    <w:p w14:paraId="2BC88C04" w14:textId="40FA0447" w:rsidR="006145A3" w:rsidRPr="00BF6B80" w:rsidRDefault="006145A3" w:rsidP="006145A3">
      <w:pPr>
        <w:pStyle w:val="Para0"/>
      </w:pPr>
      <w:r w:rsidRPr="00BF6B80">
        <w:t>These new Indigenous languag</w:t>
      </w:r>
      <w:r>
        <w:t>es are considered “</w:t>
      </w:r>
      <w:r w:rsidRPr="00BF6B80">
        <w:t>Indigenous</w:t>
      </w:r>
      <w:r>
        <w:t>”</w:t>
      </w:r>
      <w:r w:rsidRPr="00BF6B80">
        <w:t xml:space="preserve"> because they are spoken almost exclusively by Indigenous peoples and are used predominantly for inter-Indigenous interactions. That said, their place can be somewhat contested. The</w:t>
      </w:r>
      <w:r>
        <w:t>y have perhaps been considered “</w:t>
      </w:r>
      <w:r w:rsidRPr="00BF6B80">
        <w:t>lesser langua</w:t>
      </w:r>
      <w:r>
        <w:t>ges”</w:t>
      </w:r>
      <w:r w:rsidRPr="00BF6B80">
        <w:t xml:space="preserve"> caught between the culturally valued original traditional languages and the socio</w:t>
      </w:r>
      <w:r>
        <w:t>-</w:t>
      </w:r>
      <w:r w:rsidRPr="00BF6B80">
        <w:t>economically and educationally advantageous national standard languages of English or French. They can, due to their complex origins, be misrecognised as one or the other of their source languages, thereby obscuring the whole language ecology and a suite of necessary language responses in education</w:t>
      </w:r>
      <w:r w:rsidR="00AB5D56">
        <w:t xml:space="preserve"> (Angelo, 2021)</w:t>
      </w:r>
      <w:r w:rsidRPr="00BF6B80">
        <w:t xml:space="preserve">. They are also closely </w:t>
      </w:r>
      <w:r w:rsidRPr="00BF6B80">
        <w:lastRenderedPageBreak/>
        <w:t>associated with language shift and can (erroneously) be seen as the cause for the shift rather than the outcome of all the forces that pushed traditional Indigenous languages out of the role of everyday use in a speech community.</w:t>
      </w:r>
    </w:p>
    <w:p w14:paraId="47B03B70" w14:textId="77777777" w:rsidR="006145A3" w:rsidRDefault="006145A3" w:rsidP="006145A3">
      <w:pPr>
        <w:pStyle w:val="Para0"/>
        <w:rPr>
          <w:lang w:val="mi-NZ"/>
        </w:rPr>
      </w:pPr>
      <w:r w:rsidRPr="00BF6B80">
        <w:t xml:space="preserve">Like any Indigenous language, contact languages </w:t>
      </w:r>
      <w:r>
        <w:t>(</w:t>
      </w:r>
      <w:r w:rsidRPr="00472E82">
        <w:t>formed through two or more other languages, often in a context of sudden and sustained contact between speakers of a number of languages</w:t>
      </w:r>
      <w:r>
        <w:t xml:space="preserve">) </w:t>
      </w:r>
      <w:r w:rsidRPr="00BF6B80">
        <w:t xml:space="preserve">express speakers' Indigenous identity and culture, and they are equally communicatively expressive. </w:t>
      </w:r>
      <w:r>
        <w:t>“</w:t>
      </w:r>
      <w:r w:rsidRPr="00472E82">
        <w:t>Contact language</w:t>
      </w:r>
      <w:r>
        <w:t>”</w:t>
      </w:r>
      <w:r w:rsidRPr="00472E82">
        <w:t xml:space="preserve"> is a very broad term, including creoles, mixed languages and pidgins.</w:t>
      </w:r>
      <w:r w:rsidRPr="00852D94">
        <w:rPr>
          <w:lang w:val="mi-NZ"/>
        </w:rPr>
        <w:t xml:space="preserve"> </w:t>
      </w:r>
    </w:p>
    <w:p w14:paraId="4EE50430" w14:textId="40323A0D" w:rsidR="006145A3" w:rsidRPr="00BF6B80" w:rsidRDefault="006145A3" w:rsidP="006145A3">
      <w:pPr>
        <w:pStyle w:val="Para0"/>
      </w:pPr>
      <w:r>
        <w:t>“</w:t>
      </w:r>
      <w:r w:rsidRPr="00BF6B80">
        <w:t>Langua</w:t>
      </w:r>
      <w:r>
        <w:t>ge awareness”</w:t>
      </w:r>
      <w:r w:rsidRPr="00BF6B80">
        <w:t xml:space="preserve"> (learning about the language and its situation) is often useful for speakers of contact languages because of these problematic attitudes and positioning. Mother tongue medium schooling benefits all children, including children who speak new Indigenous languages, but its implementation tends to require much awareness building groundwork to ensure acceptance. Generally, new Indigenous contact languages have not been taught as second languages in schools, although programmes for incoming professionals have been developed, such as the Kriol Awareness Course offered in Australia </w:t>
      </w:r>
      <w:sdt>
        <w:sdtPr>
          <w:id w:val="-1004580972"/>
          <w:citation/>
        </w:sdtPr>
        <w:sdtEndPr/>
        <w:sdtContent>
          <w:r w:rsidR="00304CD7">
            <w:fldChar w:fldCharType="begin"/>
          </w:r>
          <w:r w:rsidR="00506BA2">
            <w:instrText xml:space="preserve">CITATION Cen20 \l 2057 </w:instrText>
          </w:r>
          <w:r w:rsidR="00304CD7">
            <w:fldChar w:fldCharType="separate"/>
          </w:r>
          <w:r w:rsidR="00506BA2" w:rsidRPr="00506BA2">
            <w:rPr>
              <w:noProof/>
            </w:rPr>
            <w:t>(</w:t>
          </w:r>
          <w:bookmarkStart w:id="240" w:name="Cen20_167"/>
          <w:r w:rsidR="00506BA2" w:rsidRPr="00506BA2">
            <w:rPr>
              <w:noProof/>
            </w:rPr>
            <w:t>Ngukurr Language Centre, 2020</w:t>
          </w:r>
          <w:r w:rsidR="00506BA2" w:rsidRPr="00506BA2">
            <w:rPr>
              <w:noProof/>
              <w:vertAlign w:val="subscript"/>
            </w:rPr>
            <w:t>[167]</w:t>
          </w:r>
          <w:r w:rsidR="00506BA2" w:rsidRPr="00506BA2">
            <w:rPr>
              <w:noProof/>
            </w:rPr>
            <w:t>)</w:t>
          </w:r>
          <w:bookmarkEnd w:id="240"/>
          <w:r w:rsidR="00304CD7">
            <w:fldChar w:fldCharType="end"/>
          </w:r>
        </w:sdtContent>
      </w:sdt>
      <w:r w:rsidRPr="00BF6B80">
        <w:t xml:space="preserve">. There has, however, been a resurgence in pride in the Michif (mixed language) heritage for some Métis people in Canada, which has included second/additional language learning initiatives </w:t>
      </w:r>
      <w:sdt>
        <w:sdtPr>
          <w:id w:val="895081144"/>
          <w:citation/>
        </w:sdtPr>
        <w:sdtEndPr/>
        <w:sdtContent>
          <w:r w:rsidR="00506BA2">
            <w:fldChar w:fldCharType="begin"/>
          </w:r>
          <w:r w:rsidR="00506BA2">
            <w:instrText xml:space="preserve"> CITATION Lou20 \l 2057 </w:instrText>
          </w:r>
          <w:r w:rsidR="00506BA2">
            <w:fldChar w:fldCharType="separate"/>
          </w:r>
          <w:r w:rsidR="00506BA2" w:rsidRPr="00506BA2">
            <w:rPr>
              <w:noProof/>
            </w:rPr>
            <w:t>(</w:t>
          </w:r>
          <w:bookmarkStart w:id="241" w:name="Lou20_168"/>
          <w:r w:rsidR="00506BA2" w:rsidRPr="00506BA2">
            <w:rPr>
              <w:noProof/>
            </w:rPr>
            <w:t>Louis Riel Institute, 2020</w:t>
          </w:r>
          <w:r w:rsidR="00506BA2" w:rsidRPr="00506BA2">
            <w:rPr>
              <w:noProof/>
              <w:vertAlign w:val="subscript"/>
            </w:rPr>
            <w:t>[168]</w:t>
          </w:r>
          <w:r w:rsidR="00506BA2" w:rsidRPr="00506BA2">
            <w:rPr>
              <w:noProof/>
            </w:rPr>
            <w:t>)</w:t>
          </w:r>
          <w:bookmarkEnd w:id="241"/>
          <w:r w:rsidR="00506BA2">
            <w:fldChar w:fldCharType="end"/>
          </w:r>
        </w:sdtContent>
      </w:sdt>
      <w:r w:rsidRPr="00BF6B80">
        <w:t>.</w:t>
      </w:r>
    </w:p>
    <w:p w14:paraId="42DE90BC" w14:textId="77777777" w:rsidR="006145A3" w:rsidRPr="00852D94" w:rsidRDefault="006145A3" w:rsidP="006145A3">
      <w:pPr>
        <w:pStyle w:val="Heading3"/>
        <w:numPr>
          <w:ilvl w:val="2"/>
          <w:numId w:val="22"/>
        </w:numPr>
      </w:pPr>
      <w:r w:rsidRPr="00852D94">
        <w:t xml:space="preserve">National </w:t>
      </w:r>
      <w:r w:rsidRPr="0082641F">
        <w:t>languages</w:t>
      </w:r>
      <w:r w:rsidRPr="00852D94">
        <w:t xml:space="preserve"> </w:t>
      </w:r>
    </w:p>
    <w:p w14:paraId="6F635A54" w14:textId="77777777" w:rsidR="006145A3" w:rsidRPr="00BF6B80" w:rsidRDefault="006145A3" w:rsidP="006145A3">
      <w:pPr>
        <w:pStyle w:val="Para0"/>
      </w:pPr>
      <w:r w:rsidRPr="00A53755">
        <w:t>National languages</w:t>
      </w:r>
      <w:r w:rsidRPr="00A53755">
        <w:rPr>
          <w:b/>
          <w:bCs/>
        </w:rPr>
        <w:t xml:space="preserve"> </w:t>
      </w:r>
      <w:r w:rsidRPr="00A53755">
        <w:t>are</w:t>
      </w:r>
      <w:r w:rsidRPr="00A53755">
        <w:rPr>
          <w:b/>
          <w:bCs/>
        </w:rPr>
        <w:t xml:space="preserve"> </w:t>
      </w:r>
      <w:r w:rsidRPr="00BF6B80">
        <w:t>languages of wider communication. National languages, like English or French, have been used as default languages in many Australian, Ca</w:t>
      </w:r>
      <w:r>
        <w:t>nadian and Aotearoa New </w:t>
      </w:r>
      <w:r w:rsidRPr="00BF6B80">
        <w:t xml:space="preserve">Zealand classrooms over the decades, sometimes even when they are a second/additional language for Indigenous students. Many Indigenous peoples in these jurisdictions speak the national language(s) as their mother tongue or with high levels of proficiency. In some remote areas in Australia and Canada, however, the national language(s) are akin to a </w:t>
      </w:r>
      <w:r>
        <w:t>“</w:t>
      </w:r>
      <w:r w:rsidRPr="00BF6B80">
        <w:t>foreign language</w:t>
      </w:r>
      <w:r>
        <w:t>”</w:t>
      </w:r>
      <w:r w:rsidRPr="00BF6B80">
        <w:t xml:space="preserve"> as they are not used by Indigenous people there as a vernacular in their everyday life, but perhaps only in some work places.</w:t>
      </w:r>
    </w:p>
    <w:p w14:paraId="518D4725" w14:textId="77777777" w:rsidR="006145A3" w:rsidRPr="00BF6B80" w:rsidRDefault="006145A3" w:rsidP="006145A3">
      <w:pPr>
        <w:pStyle w:val="Para0"/>
      </w:pPr>
      <w:r w:rsidRPr="00BF6B80">
        <w:t>While a national language may not project an Indigenous person's Indigenous identity or represent an Indigenous language community, Indigenous people may relate to a national language as it projects their national identity (and not another), so Māori people may identify with New</w:t>
      </w:r>
      <w:r>
        <w:t> </w:t>
      </w:r>
      <w:r w:rsidRPr="00BF6B80">
        <w:t>Zealand English in this way, as may Indigenous peoples in Australia with Australian Englishes, and Indigenous peoples in Canada with Canadian Englishes. Proficiency in a national language is useful for engaging with the institutions and services available primarily in these languages, including internationally. Some Indigenous students are second language learners of national languages but this is not always recognised or respectfully addressed in their schooling, in which case students may experience language submersion.</w:t>
      </w:r>
    </w:p>
    <w:p w14:paraId="33EF2F62" w14:textId="77777777" w:rsidR="006145A3" w:rsidRPr="00BF6B80" w:rsidRDefault="006145A3" w:rsidP="006145A3">
      <w:pPr>
        <w:pStyle w:val="Para0"/>
      </w:pPr>
      <w:r w:rsidRPr="00BF6B80">
        <w:t xml:space="preserve">Indigenous languages which are spoken as vernaculars are not threatened by multilingualism in the national language(s) </w:t>
      </w:r>
      <w:r w:rsidRPr="00BF6B80">
        <w:rPr>
          <w:i/>
          <w:iCs/>
        </w:rPr>
        <w:t>per se</w:t>
      </w:r>
      <w:r w:rsidRPr="00BF6B80">
        <w:t>, as multilingualism is a natural state in most societies and for many people worldwide. The threat comes from the constrictions imposed by dominant languages on minoritised Indigenous languages, for example by policies not purposefully implementing them in schools, in the media, in the workplace</w:t>
      </w:r>
      <w:r>
        <w:t> </w:t>
      </w:r>
      <w:r w:rsidRPr="00BF6B80">
        <w:t>etc., which leads to them being used less and less. Similarly revitalisation/revival/reawakening Indigenous languages involves both learning and sometimes rebuilding languages</w:t>
      </w:r>
      <w:r>
        <w:t>,</w:t>
      </w:r>
      <w:r w:rsidRPr="00BF6B80">
        <w:t xml:space="preserve"> but also finding ways of using them in everyday life again and so pushing back on the unconsidered dominance of national languages.</w:t>
      </w:r>
    </w:p>
    <w:p w14:paraId="79F98D60" w14:textId="77777777" w:rsidR="006145A3" w:rsidRPr="00C076D4" w:rsidRDefault="006145A3" w:rsidP="006145A3">
      <w:pPr>
        <w:pStyle w:val="Heading3"/>
        <w:numPr>
          <w:ilvl w:val="2"/>
          <w:numId w:val="22"/>
        </w:numPr>
      </w:pPr>
      <w:bookmarkStart w:id="242" w:name="_Ref38525011"/>
      <w:r w:rsidRPr="00852D94">
        <w:t xml:space="preserve">Indigenised </w:t>
      </w:r>
      <w:r w:rsidRPr="0082641F">
        <w:t>varieties</w:t>
      </w:r>
      <w:bookmarkEnd w:id="242"/>
    </w:p>
    <w:p w14:paraId="75B1A6B7" w14:textId="3CB71C24" w:rsidR="006145A3" w:rsidRPr="00BF6B80" w:rsidRDefault="006145A3" w:rsidP="006145A3">
      <w:pPr>
        <w:pStyle w:val="Para0"/>
      </w:pPr>
      <w:r w:rsidRPr="00A53755">
        <w:t>An Indigenised variety is an Indigenous way of using a non-Indigenous language</w:t>
      </w:r>
      <w:r w:rsidR="00AB5D56">
        <w:t>, sometimes terms an ethnolect, a dialect spoken by a particular ethnic/cultural group</w:t>
      </w:r>
      <w:r w:rsidRPr="00A53755">
        <w:t xml:space="preserve">. In some areas, or within some Indigenous networks or groups, the form of the national language spoken by Indigenous students might be a </w:t>
      </w:r>
      <w:r w:rsidRPr="00BF6B80">
        <w:t xml:space="preserve">distinctive identity marker. </w:t>
      </w:r>
      <w:r w:rsidR="00AB5D56">
        <w:t xml:space="preserve">This </w:t>
      </w:r>
      <w:r w:rsidRPr="00BF6B80">
        <w:t xml:space="preserve">might differ somewhat from the standard form of the national language. This could </w:t>
      </w:r>
      <w:r w:rsidRPr="00BF6B80">
        <w:lastRenderedPageBreak/>
        <w:t xml:space="preserve">take the form of some special </w:t>
      </w:r>
      <w:r>
        <w:t>“</w:t>
      </w:r>
      <w:r w:rsidRPr="00BF6B80">
        <w:t>insider</w:t>
      </w:r>
      <w:r>
        <w:t>”</w:t>
      </w:r>
      <w:r w:rsidRPr="00BF6B80">
        <w:t xml:space="preserve"> vocabulary and/or speakers might have </w:t>
      </w:r>
      <w:r>
        <w:t>“</w:t>
      </w:r>
      <w:r w:rsidRPr="00BF6B80">
        <w:t>an accent</w:t>
      </w:r>
      <w:r>
        <w:t>”</w:t>
      </w:r>
      <w:r w:rsidRPr="00BF6B80">
        <w:t xml:space="preserve"> and/or they might use slightly different word and sentence patterns. In Australia, these have been called collectively Aboriginal English(es) </w:t>
      </w:r>
      <w:sdt>
        <w:sdtPr>
          <w:id w:val="-302396582"/>
          <w:citation/>
        </w:sdtPr>
        <w:sdtEndPr/>
        <w:sdtContent>
          <w:r w:rsidR="00BD1F35">
            <w:fldChar w:fldCharType="begin"/>
          </w:r>
          <w:r w:rsidR="00BD1F35">
            <w:instrText xml:space="preserve">CITATION Ead14 \l 2057 </w:instrText>
          </w:r>
          <w:r w:rsidR="00BD1F35">
            <w:fldChar w:fldCharType="separate"/>
          </w:r>
          <w:r w:rsidR="00BD1F35" w:rsidRPr="00BD1F35">
            <w:rPr>
              <w:noProof/>
            </w:rPr>
            <w:t>(</w:t>
          </w:r>
          <w:bookmarkStart w:id="243" w:name="Ead14_169"/>
          <w:r w:rsidR="00BD1F35" w:rsidRPr="00BD1F35">
            <w:rPr>
              <w:noProof/>
            </w:rPr>
            <w:t>Eades, 2014</w:t>
          </w:r>
          <w:r w:rsidR="00BD1F35" w:rsidRPr="00BD1F35">
            <w:rPr>
              <w:noProof/>
              <w:vertAlign w:val="subscript"/>
            </w:rPr>
            <w:t>[169]</w:t>
          </w:r>
          <w:r w:rsidR="00BD1F35" w:rsidRPr="00BD1F35">
            <w:rPr>
              <w:noProof/>
            </w:rPr>
            <w:t>)</w:t>
          </w:r>
          <w:bookmarkEnd w:id="243"/>
          <w:r w:rsidR="00BD1F35">
            <w:fldChar w:fldCharType="end"/>
          </w:r>
        </w:sdtContent>
      </w:sdt>
      <w:r w:rsidRPr="00BF6B80">
        <w:t xml:space="preserve">, in Canada sometimes First Nations English, Rez English etc. </w:t>
      </w:r>
      <w:sdt>
        <w:sdtPr>
          <w:id w:val="-1797135150"/>
          <w:citation/>
        </w:sdtPr>
        <w:sdtEndPr/>
        <w:sdtContent>
          <w:r w:rsidR="00BD1F35">
            <w:fldChar w:fldCharType="begin"/>
          </w:r>
          <w:r w:rsidR="00BD1F35">
            <w:instrText xml:space="preserve"> CITATION New16 \l 2057 </w:instrText>
          </w:r>
          <w:r w:rsidR="00BD1F35">
            <w:fldChar w:fldCharType="separate"/>
          </w:r>
          <w:r w:rsidR="00BD1F35" w:rsidRPr="00BD1F35">
            <w:rPr>
              <w:noProof/>
            </w:rPr>
            <w:t>(</w:t>
          </w:r>
          <w:bookmarkStart w:id="244" w:name="New16_170"/>
          <w:r w:rsidR="00BD1F35" w:rsidRPr="00BD1F35">
            <w:rPr>
              <w:noProof/>
            </w:rPr>
            <w:t>Newmark, Stanford and Walker, 2016</w:t>
          </w:r>
          <w:r w:rsidR="00BD1F35" w:rsidRPr="00BD1F35">
            <w:rPr>
              <w:noProof/>
              <w:vertAlign w:val="subscript"/>
            </w:rPr>
            <w:t>[170]</w:t>
          </w:r>
          <w:r w:rsidR="00BD1F35" w:rsidRPr="00BD1F35">
            <w:rPr>
              <w:noProof/>
            </w:rPr>
            <w:t>)</w:t>
          </w:r>
          <w:bookmarkEnd w:id="244"/>
          <w:r w:rsidR="00BD1F35">
            <w:fldChar w:fldCharType="end"/>
          </w:r>
        </w:sdtContent>
      </w:sdt>
      <w:r w:rsidRPr="00BF6B80">
        <w:t>, and</w:t>
      </w:r>
      <w:r>
        <w:t xml:space="preserve"> in New </w:t>
      </w:r>
      <w:r w:rsidRPr="00BF6B80">
        <w:t xml:space="preserve">Zealand Māori English </w:t>
      </w:r>
      <w:sdt>
        <w:sdtPr>
          <w:id w:val="1466002981"/>
          <w:citation/>
        </w:sdtPr>
        <w:sdtEndPr/>
        <w:sdtContent>
          <w:r w:rsidR="00BD1F35">
            <w:fldChar w:fldCharType="begin"/>
          </w:r>
          <w:r w:rsidR="00BD1F35">
            <w:instrText xml:space="preserve"> CITATION Mac10 \l 2057 </w:instrText>
          </w:r>
          <w:r w:rsidR="00BD1F35">
            <w:fldChar w:fldCharType="separate"/>
          </w:r>
          <w:r w:rsidR="00BD1F35" w:rsidRPr="00BD1F35">
            <w:rPr>
              <w:noProof/>
            </w:rPr>
            <w:t>(</w:t>
          </w:r>
          <w:bookmarkStart w:id="245" w:name="Mac10_171"/>
          <w:r w:rsidR="00BD1F35" w:rsidRPr="00BD1F35">
            <w:rPr>
              <w:noProof/>
            </w:rPr>
            <w:t>Maclagan, 2010</w:t>
          </w:r>
          <w:r w:rsidR="00BD1F35" w:rsidRPr="00BD1F35">
            <w:rPr>
              <w:noProof/>
              <w:vertAlign w:val="subscript"/>
            </w:rPr>
            <w:t>[171]</w:t>
          </w:r>
          <w:r w:rsidR="00BD1F35" w:rsidRPr="00BD1F35">
            <w:rPr>
              <w:noProof/>
            </w:rPr>
            <w:t>)</w:t>
          </w:r>
          <w:bookmarkEnd w:id="245"/>
          <w:r w:rsidR="00BD1F35">
            <w:fldChar w:fldCharType="end"/>
          </w:r>
        </w:sdtContent>
      </w:sdt>
      <w:r w:rsidRPr="00BF6B80">
        <w:t>.</w:t>
      </w:r>
    </w:p>
    <w:p w14:paraId="3B55AAA6" w14:textId="77777777" w:rsidR="006145A3" w:rsidRDefault="006145A3" w:rsidP="006145A3">
      <w:pPr>
        <w:pStyle w:val="Para0"/>
      </w:pPr>
      <w:r w:rsidRPr="00EE677D">
        <w:t xml:space="preserve">The </w:t>
      </w:r>
      <w:r w:rsidRPr="00BF6B80">
        <w:t>proximity to, or distance from, the standard language variety cannot be assumed for any Indigenised variety spoken by an Indigenous student cohort on the basis of generic terminology</w:t>
      </w:r>
      <w:r>
        <w:t xml:space="preserve"> like “</w:t>
      </w:r>
      <w:r w:rsidRPr="00EE677D">
        <w:t>Indigenised Englishes</w:t>
      </w:r>
      <w:r>
        <w:t>”, “Aboriginal English(es)”, “First Nations English(es)”</w:t>
      </w:r>
      <w:r w:rsidRPr="00EE677D">
        <w:t xml:space="preserve"> etc. </w:t>
      </w:r>
    </w:p>
    <w:p w14:paraId="608078FF" w14:textId="77777777" w:rsidR="006145A3" w:rsidRPr="00BF6B80" w:rsidRDefault="006145A3" w:rsidP="006145A3">
      <w:pPr>
        <w:pStyle w:val="Para0"/>
      </w:pPr>
      <w:r w:rsidRPr="00BF6B80">
        <w:t>For Indigenous students, schools should appreciate Indigenised varieties for their cultural belonging and identity values and should ensure that these varieties are never considered in deficit terms. Indigenised varieties may incorporate features of traditi</w:t>
      </w:r>
      <w:r>
        <w:t>onal Indigenous languages (e.g. </w:t>
      </w:r>
      <w:r w:rsidRPr="00BF6B80">
        <w:t>intona</w:t>
      </w:r>
      <w:r>
        <w:t>tion, vocabulary, speech styles </w:t>
      </w:r>
      <w:r w:rsidRPr="00BF6B80">
        <w:t>etc.) and this linguistic and cultural continuity can be harnessed to benefit student language learning.</w:t>
      </w:r>
      <w:r>
        <w:t xml:space="preserve"> Thus, l</w:t>
      </w:r>
      <w:r w:rsidRPr="00BF6B80">
        <w:t>anguage awareness approaches are useful for generating understandings about the importance of non-standard language varieties for individuals and their speech community. In terms of Indigenous language programme delivery, adult language teachers might use Indigenised varieties in the classroom</w:t>
      </w:r>
      <w:r>
        <w:t>.</w:t>
      </w:r>
    </w:p>
    <w:p w14:paraId="3BAEAE8C" w14:textId="77777777" w:rsidR="006145A3" w:rsidRPr="00852D94" w:rsidRDefault="006145A3" w:rsidP="006145A3">
      <w:pPr>
        <w:pStyle w:val="Heading3"/>
        <w:numPr>
          <w:ilvl w:val="2"/>
          <w:numId w:val="22"/>
        </w:numPr>
      </w:pPr>
      <w:bookmarkStart w:id="246" w:name="_Toc32137957"/>
      <w:bookmarkStart w:id="247" w:name="_Ref31374807"/>
      <w:bookmarkEnd w:id="246"/>
      <w:bookmarkEnd w:id="247"/>
      <w:r w:rsidRPr="00C076D4">
        <w:t>Language ecologies: a tool for language diversity in education</w:t>
      </w:r>
    </w:p>
    <w:p w14:paraId="376AF785" w14:textId="77777777" w:rsidR="006145A3" w:rsidRDefault="006145A3" w:rsidP="006145A3">
      <w:pPr>
        <w:pStyle w:val="Para0"/>
        <w:rPr>
          <w:lang w:val="en-AU"/>
        </w:rPr>
      </w:pPr>
      <w:r w:rsidRPr="00A53755">
        <w:rPr>
          <w:lang w:val="en-AU"/>
        </w:rPr>
        <w:t xml:space="preserve">An understanding of language ecologies </w:t>
      </w:r>
      <w:r w:rsidRPr="00BF6B80">
        <w:rPr>
          <w:lang w:val="en-AU"/>
        </w:rPr>
        <w:t>raises awareness about the various languages in Indigenous students' lives and whether educational programmes are taking account of these</w:t>
      </w:r>
      <w:r>
        <w:rPr>
          <w:lang w:val="en-AU"/>
        </w:rPr>
        <w:t>.</w:t>
      </w:r>
      <w:r w:rsidRPr="00BF6B80">
        <w:rPr>
          <w:lang w:val="en-AU"/>
        </w:rPr>
        <w:t xml:space="preserve"> </w:t>
      </w:r>
      <w:r>
        <w:rPr>
          <w:lang w:val="en-AU"/>
        </w:rPr>
        <w:t>Thus, l</w:t>
      </w:r>
      <w:r w:rsidRPr="00BF6B80">
        <w:rPr>
          <w:lang w:val="en-AU"/>
        </w:rPr>
        <w:t>anguage ecology frameworks provide broad and helpful guidance for education policy makers and service delivery</w:t>
      </w:r>
      <w:r>
        <w:rPr>
          <w:lang w:val="en-AU"/>
        </w:rPr>
        <w:t>. In addition, c</w:t>
      </w:r>
      <w:r w:rsidRPr="00BF6B80">
        <w:rPr>
          <w:lang w:val="en-AU"/>
        </w:rPr>
        <w:t>oncepts associated with language ecologies</w:t>
      </w:r>
      <w:r>
        <w:rPr>
          <w:lang w:val="en-AU"/>
        </w:rPr>
        <w:t xml:space="preserve"> </w:t>
      </w:r>
      <w:r w:rsidRPr="00BF6B80">
        <w:rPr>
          <w:lang w:val="en-AU"/>
        </w:rPr>
        <w:t xml:space="preserve">permeate </w:t>
      </w:r>
      <w:r>
        <w:rPr>
          <w:lang w:val="en-AU"/>
        </w:rPr>
        <w:t xml:space="preserve">expected and desired </w:t>
      </w:r>
      <w:r w:rsidRPr="00BF6B80">
        <w:rPr>
          <w:lang w:val="en-AU"/>
        </w:rPr>
        <w:t>outcomes from Indigenous languages programmes.</w:t>
      </w:r>
    </w:p>
    <w:p w14:paraId="1DA667CF" w14:textId="3D3522AF" w:rsidR="006145A3" w:rsidRDefault="006145A3" w:rsidP="006145A3">
      <w:pPr>
        <w:pStyle w:val="Caption"/>
      </w:pPr>
      <w:bookmarkStart w:id="248" w:name="_Ref83301896"/>
      <w:bookmarkStart w:id="249" w:name="_Toc95824135"/>
      <w:bookmarkStart w:id="250" w:name="_Ref36449220"/>
      <w:bookmarkStart w:id="251" w:name="_Ref36449198"/>
      <w:r>
        <w:t>Table </w:t>
      </w:r>
      <w:r>
        <w:rPr>
          <w:noProof/>
        </w:rPr>
        <w:fldChar w:fldCharType="begin"/>
      </w:r>
      <w:r>
        <w:rPr>
          <w:noProof/>
        </w:rPr>
        <w:instrText xml:space="preserve"> STYLEREF 1 \s </w:instrText>
      </w:r>
      <w:r>
        <w:rPr>
          <w:noProof/>
        </w:rPr>
        <w:fldChar w:fldCharType="separate"/>
      </w:r>
      <w:r w:rsidR="00CA5B8D">
        <w:rPr>
          <w:noProof/>
        </w:rPr>
        <w:t>6</w:t>
      </w:r>
      <w:r>
        <w:rPr>
          <w:noProof/>
        </w:rPr>
        <w:fldChar w:fldCharType="end"/>
      </w:r>
      <w:r>
        <w:t>.</w:t>
      </w:r>
      <w:r>
        <w:rPr>
          <w:noProof/>
        </w:rPr>
        <w:fldChar w:fldCharType="begin"/>
      </w:r>
      <w:r>
        <w:rPr>
          <w:noProof/>
        </w:rPr>
        <w:instrText xml:space="preserve"> SEQ Table \* ARABIC \s 1 </w:instrText>
      </w:r>
      <w:r>
        <w:rPr>
          <w:noProof/>
        </w:rPr>
        <w:fldChar w:fldCharType="separate"/>
      </w:r>
      <w:r w:rsidR="00CA5B8D">
        <w:rPr>
          <w:noProof/>
        </w:rPr>
        <w:t>1</w:t>
      </w:r>
      <w:r>
        <w:rPr>
          <w:noProof/>
        </w:rPr>
        <w:fldChar w:fldCharType="end"/>
      </w:r>
      <w:bookmarkEnd w:id="248"/>
      <w:r>
        <w:t xml:space="preserve">. </w:t>
      </w:r>
      <w:r w:rsidRPr="00734C06">
        <w:t>Children's languages and school taught additional languages</w:t>
      </w:r>
      <w:bookmarkEnd w:id="249"/>
    </w:p>
    <w:tbl>
      <w:tblPr>
        <w:tblStyle w:val="OECD"/>
        <w:tblW w:w="5000" w:type="pct"/>
        <w:tblLook w:val="04A0" w:firstRow="1" w:lastRow="0" w:firstColumn="1" w:lastColumn="0" w:noHBand="0" w:noVBand="1"/>
      </w:tblPr>
      <w:tblGrid>
        <w:gridCol w:w="3691"/>
        <w:gridCol w:w="5607"/>
      </w:tblGrid>
      <w:tr w:rsidR="006145A3" w14:paraId="470EB15F" w14:textId="77777777" w:rsidTr="003E4CEC">
        <w:trPr>
          <w:cnfStyle w:val="100000000000" w:firstRow="1" w:lastRow="0" w:firstColumn="0" w:lastColumn="0" w:oddVBand="0" w:evenVBand="0" w:oddHBand="0" w:evenHBand="0" w:firstRowFirstColumn="0" w:firstRowLastColumn="0" w:lastRowFirstColumn="0" w:lastRowLastColumn="0"/>
        </w:trPr>
        <w:tc>
          <w:tcPr>
            <w:tcW w:w="1985" w:type="pct"/>
            <w:hideMark/>
          </w:tcPr>
          <w:p w14:paraId="13E93669" w14:textId="77777777" w:rsidR="006145A3" w:rsidRPr="00734C06" w:rsidRDefault="006145A3" w:rsidP="003E4CEC">
            <w:pPr>
              <w:pStyle w:val="TableColumn"/>
              <w:rPr>
                <w:b/>
              </w:rPr>
            </w:pPr>
            <w:r w:rsidRPr="00734C06">
              <w:rPr>
                <w:b/>
              </w:rPr>
              <w:t>Children's mother tongue/first language:</w:t>
            </w:r>
          </w:p>
        </w:tc>
        <w:tc>
          <w:tcPr>
            <w:tcW w:w="3015" w:type="pct"/>
            <w:hideMark/>
          </w:tcPr>
          <w:p w14:paraId="74D9152F" w14:textId="77777777" w:rsidR="006145A3" w:rsidRPr="00734C06" w:rsidRDefault="006145A3" w:rsidP="003E4CEC">
            <w:pPr>
              <w:pStyle w:val="TableColumn"/>
              <w:rPr>
                <w:b/>
              </w:rPr>
            </w:pPr>
            <w:r w:rsidRPr="00734C06">
              <w:rPr>
                <w:b/>
              </w:rPr>
              <w:t>Languages potentially added at school as second/additional languages</w:t>
            </w:r>
          </w:p>
        </w:tc>
      </w:tr>
      <w:tr w:rsidR="006145A3" w14:paraId="25050AF6" w14:textId="77777777" w:rsidTr="003E4CEC">
        <w:tc>
          <w:tcPr>
            <w:tcW w:w="1985" w:type="pct"/>
            <w:hideMark/>
          </w:tcPr>
          <w:p w14:paraId="19B768C0" w14:textId="77777777" w:rsidR="006145A3" w:rsidRDefault="006145A3" w:rsidP="003E4CEC">
            <w:pPr>
              <w:pStyle w:val="TableRow"/>
            </w:pPr>
            <w:r>
              <w:t>A traditional Indigenous language</w:t>
            </w:r>
          </w:p>
        </w:tc>
        <w:tc>
          <w:tcPr>
            <w:tcW w:w="3015" w:type="pct"/>
            <w:hideMark/>
          </w:tcPr>
          <w:p w14:paraId="2C3A3C0F" w14:textId="77777777" w:rsidR="006145A3" w:rsidRDefault="006145A3" w:rsidP="003E4CEC">
            <w:pPr>
              <w:pStyle w:val="TableRow"/>
              <w:numPr>
                <w:ilvl w:val="0"/>
                <w:numId w:val="40"/>
              </w:numPr>
            </w:pPr>
            <w:r>
              <w:t>national language of wider communication e.g. for higher education, like English and/or French</w:t>
            </w:r>
          </w:p>
          <w:p w14:paraId="511EC8AA" w14:textId="77777777" w:rsidR="006145A3" w:rsidRDefault="006145A3" w:rsidP="003E4CEC">
            <w:pPr>
              <w:pStyle w:val="TableRow"/>
              <w:numPr>
                <w:ilvl w:val="0"/>
                <w:numId w:val="40"/>
              </w:numPr>
            </w:pPr>
            <w:r>
              <w:t>other languages of interest</w:t>
            </w:r>
          </w:p>
        </w:tc>
      </w:tr>
      <w:tr w:rsidR="006145A3" w14:paraId="209ED179" w14:textId="77777777" w:rsidTr="003E4CEC">
        <w:tc>
          <w:tcPr>
            <w:tcW w:w="1985" w:type="pct"/>
            <w:hideMark/>
          </w:tcPr>
          <w:p w14:paraId="4D8233BE" w14:textId="77777777" w:rsidR="006145A3" w:rsidRDefault="006145A3" w:rsidP="003E4CEC">
            <w:pPr>
              <w:pStyle w:val="TableRow"/>
            </w:pPr>
            <w:r>
              <w:t>A new Indigenous language, such as a creole or a mixed language</w:t>
            </w:r>
          </w:p>
        </w:tc>
        <w:tc>
          <w:tcPr>
            <w:tcW w:w="3015" w:type="pct"/>
            <w:hideMark/>
          </w:tcPr>
          <w:p w14:paraId="1707D897" w14:textId="77777777" w:rsidR="006145A3" w:rsidRDefault="006145A3" w:rsidP="003E4CEC">
            <w:pPr>
              <w:pStyle w:val="TableRow"/>
              <w:numPr>
                <w:ilvl w:val="0"/>
                <w:numId w:val="41"/>
              </w:numPr>
            </w:pPr>
            <w:r>
              <w:t>national language of wider communication e.g. for higher education, like English and/or French</w:t>
            </w:r>
          </w:p>
          <w:p w14:paraId="230CE728" w14:textId="77777777" w:rsidR="006145A3" w:rsidRDefault="006145A3" w:rsidP="003E4CEC">
            <w:pPr>
              <w:pStyle w:val="TableRow"/>
              <w:numPr>
                <w:ilvl w:val="0"/>
                <w:numId w:val="41"/>
              </w:numPr>
            </w:pPr>
            <w:r>
              <w:t>own/local traditional Indigenous language</w:t>
            </w:r>
          </w:p>
          <w:p w14:paraId="410CBC41" w14:textId="77777777" w:rsidR="006145A3" w:rsidRDefault="006145A3" w:rsidP="003E4CEC">
            <w:pPr>
              <w:pStyle w:val="TableRow"/>
              <w:numPr>
                <w:ilvl w:val="0"/>
                <w:numId w:val="41"/>
              </w:numPr>
            </w:pPr>
            <w:r>
              <w:t>other languages of interest</w:t>
            </w:r>
          </w:p>
        </w:tc>
      </w:tr>
      <w:tr w:rsidR="006145A3" w14:paraId="0145C3D9" w14:textId="77777777" w:rsidTr="003E4CEC">
        <w:tc>
          <w:tcPr>
            <w:tcW w:w="1985" w:type="pct"/>
            <w:hideMark/>
          </w:tcPr>
          <w:p w14:paraId="07D6C9DB" w14:textId="77777777" w:rsidR="006145A3" w:rsidRDefault="006145A3" w:rsidP="003E4CEC">
            <w:pPr>
              <w:pStyle w:val="TableRow"/>
            </w:pPr>
            <w:r>
              <w:t>A national language (English and/or French)</w:t>
            </w:r>
          </w:p>
        </w:tc>
        <w:tc>
          <w:tcPr>
            <w:tcW w:w="3015" w:type="pct"/>
            <w:hideMark/>
          </w:tcPr>
          <w:p w14:paraId="560A8131" w14:textId="77777777" w:rsidR="006145A3" w:rsidRDefault="006145A3" w:rsidP="003E4CEC">
            <w:pPr>
              <w:pStyle w:val="TableRow"/>
              <w:numPr>
                <w:ilvl w:val="0"/>
                <w:numId w:val="42"/>
              </w:numPr>
            </w:pPr>
            <w:r>
              <w:t>own/local traditional Indigenous language</w:t>
            </w:r>
          </w:p>
          <w:p w14:paraId="6C0B1C33" w14:textId="77777777" w:rsidR="006145A3" w:rsidRDefault="006145A3" w:rsidP="003E4CEC">
            <w:pPr>
              <w:pStyle w:val="TableRow"/>
              <w:numPr>
                <w:ilvl w:val="0"/>
                <w:numId w:val="42"/>
              </w:numPr>
            </w:pPr>
            <w:r>
              <w:t>other languages of interest</w:t>
            </w:r>
          </w:p>
        </w:tc>
      </w:tr>
      <w:tr w:rsidR="006145A3" w14:paraId="62A91CE6" w14:textId="77777777" w:rsidTr="003E4CEC">
        <w:tc>
          <w:tcPr>
            <w:tcW w:w="1985" w:type="pct"/>
            <w:hideMark/>
          </w:tcPr>
          <w:p w14:paraId="6C76FDEC" w14:textId="77777777" w:rsidR="006145A3" w:rsidRDefault="006145A3" w:rsidP="003E4CEC">
            <w:pPr>
              <w:pStyle w:val="TableRow"/>
            </w:pPr>
            <w:r>
              <w:t>An Indigenised variety of national language, such as an Indigenised English (ethnolect)</w:t>
            </w:r>
          </w:p>
        </w:tc>
        <w:tc>
          <w:tcPr>
            <w:tcW w:w="3015" w:type="pct"/>
            <w:hideMark/>
          </w:tcPr>
          <w:p w14:paraId="2BF83961" w14:textId="77777777" w:rsidR="006145A3" w:rsidRDefault="006145A3" w:rsidP="003E4CEC">
            <w:pPr>
              <w:pStyle w:val="TableRow"/>
              <w:numPr>
                <w:ilvl w:val="0"/>
                <w:numId w:val="43"/>
              </w:numPr>
            </w:pPr>
            <w:r>
              <w:t>(if sufficiently different) elements of national language of wider communication e.g. for higher education, like English and/or French</w:t>
            </w:r>
          </w:p>
          <w:p w14:paraId="6CBDF9CE" w14:textId="77777777" w:rsidR="006145A3" w:rsidRDefault="006145A3" w:rsidP="003E4CEC">
            <w:pPr>
              <w:pStyle w:val="TableRow"/>
              <w:numPr>
                <w:ilvl w:val="0"/>
                <w:numId w:val="43"/>
              </w:numPr>
            </w:pPr>
            <w:r>
              <w:t>own/local traditional Indigenous language</w:t>
            </w:r>
          </w:p>
          <w:p w14:paraId="4F253D2F" w14:textId="77777777" w:rsidR="006145A3" w:rsidRDefault="006145A3" w:rsidP="003E4CEC">
            <w:pPr>
              <w:pStyle w:val="TableRow"/>
              <w:numPr>
                <w:ilvl w:val="0"/>
                <w:numId w:val="43"/>
              </w:numPr>
            </w:pPr>
            <w:r>
              <w:t>other languages of interest</w:t>
            </w:r>
          </w:p>
        </w:tc>
      </w:tr>
    </w:tbl>
    <w:bookmarkEnd w:id="250"/>
    <w:bookmarkEnd w:id="251"/>
    <w:p w14:paraId="0CC681D1" w14:textId="2BBE2829" w:rsidR="006145A3" w:rsidRDefault="006145A3" w:rsidP="006145A3">
      <w:pPr>
        <w:pStyle w:val="Para0"/>
      </w:pPr>
      <w:r w:rsidRPr="00A53755">
        <w:rPr>
          <w:lang w:val="en-AU"/>
        </w:rPr>
        <w:t xml:space="preserve">As </w:t>
      </w:r>
      <w:r>
        <w:rPr>
          <w:lang w:val="en-AU"/>
        </w:rPr>
        <w:fldChar w:fldCharType="begin"/>
      </w:r>
      <w:r>
        <w:rPr>
          <w:lang w:val="en-AU"/>
        </w:rPr>
        <w:instrText xml:space="preserve"> REF _Ref83301896 \h </w:instrText>
      </w:r>
      <w:r>
        <w:rPr>
          <w:lang w:val="en-AU"/>
        </w:rPr>
      </w:r>
      <w:r>
        <w:rPr>
          <w:lang w:val="en-AU"/>
        </w:rPr>
        <w:fldChar w:fldCharType="separate"/>
      </w:r>
      <w:r w:rsidR="00CA5B8D">
        <w:t>Table </w:t>
      </w:r>
      <w:r w:rsidR="00CA5B8D">
        <w:rPr>
          <w:noProof/>
        </w:rPr>
        <w:t>6</w:t>
      </w:r>
      <w:r w:rsidR="00CA5B8D">
        <w:t>.</w:t>
      </w:r>
      <w:r w:rsidR="00CA5B8D">
        <w:rPr>
          <w:noProof/>
        </w:rPr>
        <w:t>1</w:t>
      </w:r>
      <w:r>
        <w:rPr>
          <w:lang w:val="en-AU"/>
        </w:rPr>
        <w:fldChar w:fldCharType="end"/>
      </w:r>
      <w:r>
        <w:rPr>
          <w:lang w:val="en-AU"/>
        </w:rPr>
        <w:t xml:space="preserve"> </w:t>
      </w:r>
      <w:r w:rsidRPr="00A53755">
        <w:rPr>
          <w:lang w:val="en-AU"/>
        </w:rPr>
        <w:t xml:space="preserve">above illustrates, </w:t>
      </w:r>
      <w:r>
        <w:rPr>
          <w:lang w:val="en-AU"/>
        </w:rPr>
        <w:t>a</w:t>
      </w:r>
      <w:r w:rsidRPr="00A53755">
        <w:rPr>
          <w:lang w:val="en-AU"/>
        </w:rPr>
        <w:t xml:space="preserve"> language ecology perspective supports a </w:t>
      </w:r>
      <w:r w:rsidRPr="008D5C54">
        <w:rPr>
          <w:lang w:val="en-AU"/>
        </w:rPr>
        <w:t>holistic approach to students' languages so schools can better examine how these connect with educational services and purposes.</w:t>
      </w:r>
      <w:r>
        <w:rPr>
          <w:lang w:val="en-AU"/>
        </w:rPr>
        <w:t xml:space="preserve"> For example, s</w:t>
      </w:r>
      <w:r w:rsidRPr="008D5C54">
        <w:t xml:space="preserve">chools can build relationships with Indigenous communities and work together to learn more about students' and families' </w:t>
      </w:r>
      <w:r w:rsidRPr="00AD048A">
        <w:rPr>
          <w:lang w:val="en-AU"/>
        </w:rPr>
        <w:t>languages</w:t>
      </w:r>
      <w:r w:rsidRPr="008D5C54">
        <w:t xml:space="preserve"> and ways of talking</w:t>
      </w:r>
      <w:r>
        <w:t>. Thus, a</w:t>
      </w:r>
      <w:r w:rsidRPr="008D5C54">
        <w:t xml:space="preserve"> language ecology approach assists schools to understand which language(s) students speak as a first </w:t>
      </w:r>
      <w:r w:rsidRPr="00AD048A">
        <w:rPr>
          <w:lang w:val="en-AU"/>
        </w:rPr>
        <w:t>language</w:t>
      </w:r>
      <w:r w:rsidRPr="008D5C54">
        <w:t>(s) and which would be learned as additional language(s)</w:t>
      </w:r>
      <w:r>
        <w:t>.</w:t>
      </w:r>
    </w:p>
    <w:p w14:paraId="237A6910" w14:textId="7A577913" w:rsidR="00DC1469" w:rsidRDefault="00DC1469" w:rsidP="006145A3">
      <w:pPr>
        <w:pStyle w:val="Para0"/>
      </w:pPr>
    </w:p>
    <w:p w14:paraId="637B2721" w14:textId="77777777" w:rsidR="00DC1469" w:rsidRDefault="00DC1469" w:rsidP="00DC1469">
      <w:pPr>
        <w:pStyle w:val="Para0"/>
        <w:rPr>
          <w:lang w:val="en-AU"/>
        </w:rPr>
      </w:pPr>
    </w:p>
    <w:tbl>
      <w:tblPr>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DC1469" w:rsidRPr="00E2226B" w14:paraId="3FC6B35E" w14:textId="77777777" w:rsidTr="00BA71DA">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0698FFF9" w14:textId="4C7DBB5B" w:rsidR="00DC1469" w:rsidRDefault="00DC1469" w:rsidP="00BA71DA">
            <w:pPr>
              <w:pStyle w:val="Caption"/>
            </w:pPr>
            <w:bookmarkStart w:id="252" w:name="_Toc79418125"/>
            <w:r w:rsidRPr="00B44A50">
              <w:lastRenderedPageBreak/>
              <w:t>Box</w:t>
            </w:r>
            <w:r>
              <w:t> </w:t>
            </w:r>
            <w:r>
              <w:rPr>
                <w:noProof/>
              </w:rPr>
              <w:fldChar w:fldCharType="begin"/>
            </w:r>
            <w:r>
              <w:rPr>
                <w:noProof/>
              </w:rPr>
              <w:instrText xml:space="preserve"> STYLEREF 1 \s </w:instrText>
            </w:r>
            <w:r>
              <w:rPr>
                <w:noProof/>
              </w:rPr>
              <w:fldChar w:fldCharType="separate"/>
            </w:r>
            <w:r w:rsidR="00CA5B8D">
              <w:rPr>
                <w:noProof/>
              </w:rPr>
              <w:t>6</w:t>
            </w:r>
            <w:r>
              <w:rPr>
                <w:noProof/>
              </w:rPr>
              <w:fldChar w:fldCharType="end"/>
            </w:r>
            <w:r>
              <w:t>.</w:t>
            </w:r>
            <w:r>
              <w:rPr>
                <w:noProof/>
              </w:rPr>
              <w:fldChar w:fldCharType="begin"/>
            </w:r>
            <w:r>
              <w:rPr>
                <w:noProof/>
              </w:rPr>
              <w:instrText xml:space="preserve"> SEQ Box \* ARABIC \s 1 </w:instrText>
            </w:r>
            <w:r>
              <w:rPr>
                <w:noProof/>
              </w:rPr>
              <w:fldChar w:fldCharType="separate"/>
            </w:r>
            <w:r w:rsidR="00CA5B8D">
              <w:rPr>
                <w:noProof/>
              </w:rPr>
              <w:t>1</w:t>
            </w:r>
            <w:r>
              <w:rPr>
                <w:noProof/>
              </w:rPr>
              <w:fldChar w:fldCharType="end"/>
            </w:r>
            <w:r>
              <w:t xml:space="preserve">. </w:t>
            </w:r>
            <w:r w:rsidRPr="001F759B">
              <w:t>Early Language Inventory (ERLI), Australia</w:t>
            </w:r>
          </w:p>
          <w:p w14:paraId="36A0A4E9" w14:textId="0C33C83C" w:rsidR="00DC1469" w:rsidRPr="001F759B" w:rsidRDefault="00DC1469" w:rsidP="00BA71DA">
            <w:pPr>
              <w:pStyle w:val="Para0"/>
              <w:rPr>
                <w:lang w:val="en-AU"/>
              </w:rPr>
            </w:pPr>
            <w:r w:rsidRPr="001F759B">
              <w:rPr>
                <w:lang w:val="en-AU"/>
              </w:rPr>
              <w:t>The Early Language Inventory (ERLI) is a</w:t>
            </w:r>
            <w:r>
              <w:rPr>
                <w:lang w:val="en-AU"/>
              </w:rPr>
              <w:t xml:space="preserve"> </w:t>
            </w:r>
            <w:r w:rsidRPr="001F759B">
              <w:rPr>
                <w:lang w:val="en-AU"/>
              </w:rPr>
              <w:t>recent innovative response to</w:t>
            </w:r>
            <w:r>
              <w:rPr>
                <w:lang w:val="en-AU"/>
              </w:rPr>
              <w:t xml:space="preserve"> the need to better understand children’s early literacy, in diverse language contexts</w:t>
            </w:r>
            <w:r w:rsidRPr="001F759B">
              <w:rPr>
                <w:lang w:val="en-AU"/>
              </w:rPr>
              <w:t xml:space="preserve">. It is an authorised adaptation of the MacArthur-Bates Communicative Development Inventory (CDI Words and Gestures, short form) developed for a contact language ecology, in a largely Kriol-speaking area. CDI checklists such as the one developed for the ERLI have been adapted in many languages and they provide valid and reliable measures of young children's speech and language development. </w:t>
            </w:r>
          </w:p>
          <w:p w14:paraId="4BE353FD" w14:textId="77777777" w:rsidR="00DC1469" w:rsidRPr="001F759B" w:rsidRDefault="00DC1469" w:rsidP="00BA71DA">
            <w:pPr>
              <w:pStyle w:val="Para0"/>
              <w:rPr>
                <w:lang w:val="en-AU"/>
              </w:rPr>
            </w:pPr>
            <w:r w:rsidRPr="001F759B">
              <w:rPr>
                <w:lang w:val="en-AU"/>
              </w:rPr>
              <w:t>The ERLI comprises a list of 120</w:t>
            </w:r>
            <w:r>
              <w:rPr>
                <w:lang w:val="en-AU"/>
              </w:rPr>
              <w:t> </w:t>
            </w:r>
            <w:r w:rsidRPr="001F759B">
              <w:rPr>
                <w:lang w:val="en-AU"/>
              </w:rPr>
              <w:t>items (112</w:t>
            </w:r>
            <w:r>
              <w:rPr>
                <w:lang w:val="en-AU"/>
              </w:rPr>
              <w:t> </w:t>
            </w:r>
            <w:r w:rsidRPr="001F759B">
              <w:rPr>
                <w:lang w:val="en-AU"/>
              </w:rPr>
              <w:t>words and 8</w:t>
            </w:r>
            <w:r>
              <w:rPr>
                <w:lang w:val="en-AU"/>
              </w:rPr>
              <w:t> </w:t>
            </w:r>
            <w:r w:rsidRPr="001F759B">
              <w:rPr>
                <w:lang w:val="en-AU"/>
              </w:rPr>
              <w:t xml:space="preserve">hand signs) which is representative of these Aboriginal children's first words and hand signs in their first three years of life. Data are collected via strengths-based conversations with mothers and fathers about what their children can understand and/or say. When there are no concerns about their development children produce all items by about the age of three. </w:t>
            </w:r>
          </w:p>
          <w:p w14:paraId="6B19E67A" w14:textId="77777777" w:rsidR="00DC1469" w:rsidRPr="001F759B" w:rsidRDefault="00DC1469" w:rsidP="00BA71DA">
            <w:pPr>
              <w:pStyle w:val="Para0"/>
              <w:rPr>
                <w:lang w:val="en-AU"/>
              </w:rPr>
            </w:pPr>
            <w:r w:rsidRPr="001F759B">
              <w:rPr>
                <w:lang w:val="en-AU"/>
              </w:rPr>
              <w:t xml:space="preserve">The ERLI checklist is in both English and Kriol. A child's comprehension and/or production of an item can, however, be in any language. This is a particularly important and innovative design feature suited to multilingual families and situations of language contact and shift. Interestingly, the ERLI has been harnessed by families to record their children's multilingual development, noting when they understand/say/sign items in the other languages represented in their environment. </w:t>
            </w:r>
          </w:p>
          <w:p w14:paraId="5BABC0CB" w14:textId="77777777" w:rsidR="00DC1469" w:rsidRDefault="00DC1469" w:rsidP="00BA71DA">
            <w:pPr>
              <w:pStyle w:val="Para0"/>
              <w:rPr>
                <w:lang w:val="en-AU"/>
              </w:rPr>
            </w:pPr>
            <w:r w:rsidRPr="001F759B">
              <w:rPr>
                <w:lang w:val="en-AU"/>
              </w:rPr>
              <w:t>The ERLI tool was developed through a collaborative, co-design process involving a local Indigenous health service, an on-the-ground family welfare service, university researchers and local families around the town of Katherine in the Northern Territory. It is available in app and paper form and support is provided via a user manual and an ERLI Facebook page. There is ongoing research into the sociocultural applicability of the ERLI items for Aboriginal contexts beyond the Kriol speaking area, and broader health contexts, for example in the area of flagging possible hearing impairment.</w:t>
            </w:r>
          </w:p>
          <w:p w14:paraId="671009EE" w14:textId="30C99EAC" w:rsidR="00DC1469" w:rsidRPr="001F759B" w:rsidRDefault="00DC1469" w:rsidP="00BA71DA">
            <w:pPr>
              <w:pStyle w:val="Sourcenotes"/>
              <w:jc w:val="left"/>
            </w:pPr>
            <w:r w:rsidRPr="001F759B">
              <w:t>S</w:t>
            </w:r>
            <w:r>
              <w:t>ources</w:t>
            </w:r>
            <w:r w:rsidRPr="001F759B">
              <w:t xml:space="preserve">: Early Language Inventory - paper version </w:t>
            </w:r>
            <w:hyperlink r:id="rId24" w:history="1">
              <w:r w:rsidRPr="001F759B">
                <w:rPr>
                  <w:rStyle w:val="Hyperlink"/>
                </w:rPr>
                <w:t>https://cloudstor.aarnet.edu.au/plus/s/24ZPOVGlgw9a70w</w:t>
              </w:r>
            </w:hyperlink>
            <w:r w:rsidRPr="001F759B">
              <w:t xml:space="preserve"> (accessed 20 June 2020); - app version </w:t>
            </w:r>
            <w:hyperlink r:id="rId25" w:history="1">
              <w:r w:rsidRPr="001F759B">
                <w:rPr>
                  <w:rStyle w:val="Hyperlink"/>
                </w:rPr>
                <w:t>https://surveyswesternsydney.au1.qualtrics.com/jfe/form/SV_0POTmxVBSnWJKUB</w:t>
              </w:r>
            </w:hyperlink>
            <w:r w:rsidRPr="001F759B">
              <w:t xml:space="preserve"> (accessed 20 June 2020); manual </w:t>
            </w:r>
            <w:hyperlink r:id="rId26" w:history="1">
              <w:r w:rsidRPr="001F759B">
                <w:rPr>
                  <w:rStyle w:val="Hyperlink"/>
                </w:rPr>
                <w:t>https://cloudstor.aarnet.edu.au/plus/s/OHN9ANfu0GOFQxG</w:t>
              </w:r>
            </w:hyperlink>
            <w:r w:rsidRPr="001F759B">
              <w:t xml:space="preserve"> (accessed 20 June 2020) and ERLI Facebook with introductory video </w:t>
            </w:r>
            <w:hyperlink r:id="rId27" w:history="1">
              <w:r w:rsidRPr="000B14F5">
                <w:rPr>
                  <w:rStyle w:val="Hyperlink"/>
                </w:rPr>
                <w:t>https://www.facebook.com/EarlyLanguageInventory/</w:t>
              </w:r>
            </w:hyperlink>
            <w:r>
              <w:rPr>
                <w:u w:val="single"/>
              </w:rPr>
              <w:t xml:space="preserve"> </w:t>
            </w:r>
            <w:r w:rsidRPr="001F759B">
              <w:t>(accessed 20 June 2020).</w:t>
            </w:r>
          </w:p>
          <w:p w14:paraId="6D59D5A9" w14:textId="41D8EAD3" w:rsidR="00DC1469" w:rsidRPr="001F759B" w:rsidRDefault="00DC1469" w:rsidP="00BA71DA">
            <w:pPr>
              <w:pStyle w:val="Sourcenotes"/>
              <w:jc w:val="left"/>
            </w:pPr>
            <w:r w:rsidRPr="001F759B">
              <w:t xml:space="preserve">Also, MacArthur-Bates Communicative Development Inventories - Adaptations in other languages, </w:t>
            </w:r>
            <w:hyperlink r:id="rId28" w:history="1">
              <w:r w:rsidRPr="000B14F5">
                <w:rPr>
                  <w:rStyle w:val="Hyperlink"/>
                </w:rPr>
                <w:t>https://mb-cdi.stanford.edu/adaptations.html</w:t>
              </w:r>
            </w:hyperlink>
            <w:r>
              <w:rPr>
                <w:u w:val="single"/>
              </w:rPr>
              <w:t xml:space="preserve"> </w:t>
            </w:r>
            <w:r w:rsidRPr="001F759B">
              <w:t>(accessed 20 June 2020).</w:t>
            </w:r>
          </w:p>
          <w:p w14:paraId="2A66AB4F" w14:textId="0A50C272" w:rsidR="00DC1469" w:rsidRPr="001F759B" w:rsidRDefault="00DC1469" w:rsidP="00BA71DA">
            <w:pPr>
              <w:pStyle w:val="Sourcenotes"/>
              <w:rPr>
                <w:lang w:val="en-AU"/>
              </w:rPr>
            </w:pPr>
          </w:p>
        </w:tc>
      </w:tr>
      <w:bookmarkEnd w:id="252"/>
    </w:tbl>
    <w:p w14:paraId="25BC85F4" w14:textId="77777777" w:rsidR="005C35BB" w:rsidRDefault="005C35BB" w:rsidP="006145A3">
      <w:pPr>
        <w:pStyle w:val="Para0"/>
      </w:pPr>
    </w:p>
    <w:p w14:paraId="559D0BFF" w14:textId="2D787135" w:rsidR="005C35BB" w:rsidRPr="005C35BB" w:rsidRDefault="005C35BB" w:rsidP="006145A3">
      <w:pPr>
        <w:pStyle w:val="Para0"/>
        <w:rPr>
          <w:b/>
          <w:i/>
        </w:rPr>
      </w:pPr>
      <w:r w:rsidRPr="005C35BB">
        <w:rPr>
          <w:b/>
          <w:i/>
        </w:rPr>
        <w:t>Language awareness</w:t>
      </w:r>
    </w:p>
    <w:p w14:paraId="366EF5BC" w14:textId="580F4475" w:rsidR="006145A3" w:rsidRPr="001A64A7" w:rsidRDefault="006145A3" w:rsidP="006145A3">
      <w:pPr>
        <w:pStyle w:val="Para0"/>
      </w:pPr>
      <w:r w:rsidRPr="001A64A7">
        <w:t xml:space="preserve">Language awareness initiatives </w:t>
      </w:r>
      <w:r w:rsidR="00DC1469">
        <w:t xml:space="preserve">provide a pathway towards local and official recognition wherever an Indigenous community has come to speak a variety that has hitherto lacked recognition and acceptance. Such initiatives increase understanding that new </w:t>
      </w:r>
      <w:r>
        <w:t xml:space="preserve">Indigenous </w:t>
      </w:r>
      <w:r w:rsidRPr="001A64A7">
        <w:t xml:space="preserve">(contact) languages and Indigenised Englishes are </w:t>
      </w:r>
      <w:r w:rsidR="00DC1469">
        <w:t xml:space="preserve">spoken because of a range of </w:t>
      </w:r>
      <w:r w:rsidRPr="001A64A7">
        <w:t xml:space="preserve">complex </w:t>
      </w:r>
      <w:r w:rsidR="00DC1469">
        <w:t>issues, including</w:t>
      </w:r>
      <w:r w:rsidRPr="001A64A7">
        <w:t>:</w:t>
      </w:r>
    </w:p>
    <w:p w14:paraId="59D5F9B9" w14:textId="77777777" w:rsidR="006145A3" w:rsidRPr="0082641F" w:rsidRDefault="006145A3" w:rsidP="006145A3">
      <w:pPr>
        <w:pStyle w:val="BulletedList"/>
      </w:pPr>
      <w:r w:rsidRPr="00734C06">
        <w:t>History</w:t>
      </w:r>
    </w:p>
    <w:p w14:paraId="00DA128A" w14:textId="77777777" w:rsidR="006145A3" w:rsidRPr="0082641F" w:rsidRDefault="006145A3" w:rsidP="006145A3">
      <w:pPr>
        <w:pStyle w:val="BulletedList"/>
        <w:numPr>
          <w:ilvl w:val="1"/>
          <w:numId w:val="24"/>
        </w:numPr>
      </w:pPr>
      <w:r w:rsidRPr="0082641F">
        <w:t>origins of new Indigenous (contact) languages: Traces of an original source language can cause a new Indigenous language to be misrecognised as just being a</w:t>
      </w:r>
      <w:r>
        <w:t xml:space="preserve"> version of that language (e.g. </w:t>
      </w:r>
      <w:r w:rsidRPr="0082641F">
        <w:t>Kriol, an English-lexified creole spoken in northern Australia, has been mistaken as a (lesser) kind of English)</w:t>
      </w:r>
    </w:p>
    <w:p w14:paraId="4905F3ED" w14:textId="77777777" w:rsidR="006145A3" w:rsidRPr="0082641F" w:rsidRDefault="006145A3" w:rsidP="006145A3">
      <w:pPr>
        <w:pStyle w:val="BulletedList"/>
        <w:numPr>
          <w:ilvl w:val="1"/>
          <w:numId w:val="24"/>
        </w:numPr>
      </w:pPr>
      <w:r w:rsidRPr="0082641F">
        <w:lastRenderedPageBreak/>
        <w:t>recency of some contact languages: Community-wide shifts in language use may be ongoing so not all stakeholders may realise the extent of the shift in language use, and in some places, the new language of the community is difficult to pin down</w:t>
      </w:r>
    </w:p>
    <w:p w14:paraId="046BA2FE" w14:textId="77777777" w:rsidR="006145A3" w:rsidRPr="001A64A7" w:rsidRDefault="006145A3" w:rsidP="006145A3">
      <w:pPr>
        <w:pStyle w:val="BulletedList"/>
      </w:pPr>
      <w:r w:rsidRPr="0082641F">
        <w:t>Nomenclature</w:t>
      </w:r>
    </w:p>
    <w:p w14:paraId="3058ABB0" w14:textId="77777777" w:rsidR="006145A3" w:rsidRPr="001A64A7" w:rsidRDefault="006145A3" w:rsidP="006145A3">
      <w:pPr>
        <w:pStyle w:val="BulletedList"/>
        <w:numPr>
          <w:ilvl w:val="1"/>
          <w:numId w:val="24"/>
        </w:numPr>
        <w:rPr>
          <w:rFonts w:ascii="Times New Roman" w:hAnsi="Times New Roman" w:cs="Times New Roman"/>
          <w:b/>
          <w:sz w:val="22"/>
        </w:rPr>
      </w:pPr>
      <w:r w:rsidRPr="0082641F">
        <w:t>new Indigenous languages often lack names which makes their presence difficult to show through standard data collection methods. Services are equipped to cater for languages with a name and a more easily recognised language community</w:t>
      </w:r>
      <w:r w:rsidRPr="001A64A7">
        <w:rPr>
          <w:rFonts w:ascii="Times New Roman" w:hAnsi="Times New Roman" w:cs="Times New Roman"/>
          <w:sz w:val="22"/>
        </w:rPr>
        <w:t xml:space="preserve">. </w:t>
      </w:r>
    </w:p>
    <w:p w14:paraId="52A0C338" w14:textId="24D61DD8" w:rsidR="006145A3" w:rsidRPr="00824FAF" w:rsidRDefault="006145A3" w:rsidP="006145A3">
      <w:pPr>
        <w:pStyle w:val="Para0"/>
      </w:pPr>
      <w:r w:rsidRPr="00824FAF">
        <w:t xml:space="preserve">The goal is </w:t>
      </w:r>
      <w:r w:rsidRPr="005E44DF">
        <w:t>language awareness and additive multilingualism.</w:t>
      </w:r>
      <w:r w:rsidRPr="00824FAF">
        <w:t xml:space="preserve"> By acknowledging and valuing students who speak a new Indigenous language, schools can respectfully teach an additional, traditional Indigenous language as well as the national standard language. </w:t>
      </w:r>
    </w:p>
    <w:p w14:paraId="7C6E2CA2" w14:textId="77777777" w:rsidR="006145A3" w:rsidRPr="00F432BC" w:rsidRDefault="006145A3" w:rsidP="006145A3">
      <w:pPr>
        <w:pStyle w:val="Para0"/>
      </w:pPr>
      <w:r w:rsidRPr="00F432BC">
        <w:t>When a new language is created through language contact, its appearance in the local linguistic milieu is neither immediately nor easily recognised because of complex sociolinguistic factors surrounding language shifts, which renders the main language of the community invisible to usual data collection methods. Thus, school enrolment data, student achievement and census responses do not give an accurate picture of real language ecology.</w:t>
      </w:r>
    </w:p>
    <w:p w14:paraId="29B33545" w14:textId="0EAB2739" w:rsidR="006145A3" w:rsidRPr="00F432BC" w:rsidRDefault="006145A3" w:rsidP="006145A3">
      <w:pPr>
        <w:pStyle w:val="Para0"/>
      </w:pPr>
      <w:r w:rsidRPr="00F432BC">
        <w:t>Contact languages in settler-co</w:t>
      </w:r>
      <w:r w:rsidR="00DC1469">
        <w:t xml:space="preserve">lonial societies are typically </w:t>
      </w:r>
      <w:r w:rsidRPr="00F432BC">
        <w:t xml:space="preserve">sandwiched between traditional Indigenous languages </w:t>
      </w:r>
      <w:r>
        <w:t xml:space="preserve">and </w:t>
      </w:r>
      <w:r w:rsidRPr="00F432BC">
        <w:t>standard (inter-)national languages, like English, with high education and economic status. Attention typically focuses on these "important" languages, not on the newer linguistic arrival that is "only" used for everyday communication.</w:t>
      </w:r>
      <w:r>
        <w:t xml:space="preserve"> </w:t>
      </w:r>
      <w:r w:rsidRPr="00F432BC">
        <w:t xml:space="preserve">A contact language will have elements from other languages in the local language ecology, which can cause "misrecognition". Educators may mistakenly think, for example, that it is just a kind of English (but not standard/proper) and fail to teach students as second language learners. </w:t>
      </w:r>
    </w:p>
    <w:p w14:paraId="5B0F59A1" w14:textId="77777777" w:rsidR="006145A3" w:rsidRDefault="006145A3" w:rsidP="006145A3">
      <w:pPr>
        <w:pStyle w:val="Para0"/>
      </w:pPr>
      <w:r w:rsidRPr="00F432BC">
        <w:t>Acknowledging, then accepting and naming, and then valuing a "way of talking" as a proper language is a process involving stages of "language awareness" on the part of speakers and educators.</w:t>
      </w:r>
      <w:r>
        <w:t xml:space="preserve"> </w:t>
      </w:r>
      <w:r w:rsidRPr="00F432BC">
        <w:t>School systems are typically linguistically conservative, preferring established languages over newly arising "ways of talking". Schools could provide a significant pathway for recognising new languages, with good support from speakers and the community, locally relevant resources and enabling policies.</w:t>
      </w:r>
    </w:p>
    <w:tbl>
      <w:tblPr>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6145A3" w:rsidRPr="00E2226B" w14:paraId="392519B9" w14:textId="77777777" w:rsidTr="003E4CEC">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76EE4CDA" w14:textId="48A12C5D" w:rsidR="006145A3" w:rsidRDefault="006145A3" w:rsidP="003E4CEC">
            <w:pPr>
              <w:pStyle w:val="Caption"/>
            </w:pPr>
            <w:bookmarkStart w:id="253" w:name="_Toc79418126"/>
            <w:r w:rsidRPr="00B44A50">
              <w:lastRenderedPageBreak/>
              <w:t>Box</w:t>
            </w:r>
            <w:r>
              <w:t> </w:t>
            </w:r>
            <w:r>
              <w:rPr>
                <w:noProof/>
              </w:rPr>
              <w:fldChar w:fldCharType="begin"/>
            </w:r>
            <w:r>
              <w:rPr>
                <w:noProof/>
              </w:rPr>
              <w:instrText xml:space="preserve"> STYLEREF 1 \s </w:instrText>
            </w:r>
            <w:r>
              <w:rPr>
                <w:noProof/>
              </w:rPr>
              <w:fldChar w:fldCharType="separate"/>
            </w:r>
            <w:r w:rsidR="00CA5B8D">
              <w:rPr>
                <w:noProof/>
              </w:rPr>
              <w:t>6</w:t>
            </w:r>
            <w:r>
              <w:rPr>
                <w:noProof/>
              </w:rPr>
              <w:fldChar w:fldCharType="end"/>
            </w:r>
            <w:r>
              <w:t>.</w:t>
            </w:r>
            <w:r w:rsidR="005C35BB">
              <w:t>2</w:t>
            </w:r>
            <w:r>
              <w:t xml:space="preserve">. </w:t>
            </w:r>
            <w:r w:rsidRPr="00F3422E">
              <w:t>Recognising new Indigenous languages arising from language contact – Community language awareness posters, Queensland, Australia</w:t>
            </w:r>
          </w:p>
          <w:p w14:paraId="2F073F75" w14:textId="77777777" w:rsidR="006145A3" w:rsidRPr="00F3422E" w:rsidRDefault="006145A3" w:rsidP="003E4CEC">
            <w:pPr>
              <w:pStyle w:val="Para0"/>
            </w:pPr>
            <w:r w:rsidRPr="00F3422E">
              <w:t>The Community Vernacular Language Poster initiative was undertaken by the Indigenous Education arm of the Queensland Education Department to explore and present 'how people talk around here' on a poster. In each location, there has been a shift away from speaking traditional Indigenous languages and Indigenous residents acknowledge they can tell which Indigenous people are locals by how they speak, but there has been little or no history of recognising or naming of any local Indigenous way(s) of talking.</w:t>
            </w:r>
          </w:p>
          <w:p w14:paraId="441A3383" w14:textId="77777777" w:rsidR="006145A3" w:rsidRPr="00F3422E" w:rsidRDefault="006145A3" w:rsidP="003E4CEC">
            <w:pPr>
              <w:pStyle w:val="Para0"/>
            </w:pPr>
            <w:r w:rsidRPr="00F3422E">
              <w:t xml:space="preserve">To carry out the project, key core members of the local speech community (e.g. Indigenous educators) work with a linguist over an extended period of time to draft and re-draft an engaging poster depicting local speech (stick figures with speech bubbles) in recognisably local contexts. The group works consultatively with other community members garnering feedback and collecting new ideas.  </w:t>
            </w:r>
          </w:p>
          <w:p w14:paraId="3C36F16C" w14:textId="77777777" w:rsidR="006145A3" w:rsidRPr="00F3422E" w:rsidRDefault="006145A3" w:rsidP="003E4CEC">
            <w:pPr>
              <w:pStyle w:val="Para0"/>
            </w:pPr>
            <w:r w:rsidRPr="00F3422E">
              <w:t xml:space="preserve">This process generates many social, linguistic and educational questions, which the group attempt to answer. The drafting process draws many extra community members into these conversations, thus raising community levels of language awareness. Often, a name for the local contact language has resulted from a poster project. </w:t>
            </w:r>
          </w:p>
          <w:p w14:paraId="22D884FE" w14:textId="77777777" w:rsidR="006145A3" w:rsidRDefault="006145A3" w:rsidP="003E4CEC">
            <w:pPr>
              <w:pStyle w:val="Para0"/>
            </w:pPr>
            <w:r>
              <w:t>Project outcomes include a poster with examples of local language use and various materials for local language awareness (e.g. showing intergenerational change and traditional languages represented in the community), useful for incoming educators, and other professionals, and in classroom discussions of differences between a local contact (first) language and a standard target (second) language. Tangible language resources provide school administration and policy makers with evidence of the language shift and contact languages, and enhances understandings of contemporary Indigenous language ecologies and students' repertoires (otherwise usually invisible), and the need for policy, curriculum and pedagogy differentiation.</w:t>
            </w:r>
          </w:p>
          <w:p w14:paraId="6772C60F" w14:textId="64087141" w:rsidR="006145A3" w:rsidRPr="00775FF9" w:rsidRDefault="006145A3" w:rsidP="005C35BB">
            <w:pPr>
              <w:pStyle w:val="Sourcenotes"/>
            </w:pPr>
            <w:r>
              <w:t xml:space="preserve">Source: </w:t>
            </w:r>
            <w:r w:rsidRPr="00390068">
              <w:rPr>
                <w:shd w:val="clear" w:color="auto" w:fill="B0EB81" w:themeFill="accent4" w:themeFillTint="66"/>
              </w:rPr>
              <w:t>Angelo, D. (forthcoming)</w:t>
            </w:r>
            <w:r>
              <w:t xml:space="preserve"> and </w:t>
            </w:r>
            <w:r w:rsidRPr="005C35BB">
              <w:t>Angelo et al. (2019</w:t>
            </w:r>
            <w:r w:rsidRPr="00852D94">
              <w:t>)</w:t>
            </w:r>
            <w:r>
              <w:t xml:space="preserve">  </w:t>
            </w:r>
          </w:p>
        </w:tc>
      </w:tr>
      <w:bookmarkEnd w:id="253"/>
    </w:tbl>
    <w:p w14:paraId="5F5893BD" w14:textId="77777777" w:rsidR="006145A3" w:rsidRPr="00F3422E" w:rsidRDefault="006145A3" w:rsidP="006145A3">
      <w:pPr>
        <w:pStyle w:val="Para0"/>
      </w:pPr>
    </w:p>
    <w:p w14:paraId="6428A914" w14:textId="77777777" w:rsidR="006145A3" w:rsidRDefault="006145A3" w:rsidP="001A7F57">
      <w:pPr>
        <w:pStyle w:val="Heading1"/>
        <w:framePr w:w="11609" w:wrap="notBeside" w:x="1276"/>
        <w:numPr>
          <w:ilvl w:val="0"/>
          <w:numId w:val="22"/>
        </w:numPr>
        <w:ind w:left="1077" w:hanging="964"/>
      </w:pPr>
      <w:bookmarkStart w:id="254" w:name="_Toc95824113"/>
      <w:r w:rsidRPr="00A92F51">
        <w:lastRenderedPageBreak/>
        <w:t>Promising models of Indigenous language provision</w:t>
      </w:r>
      <w:bookmarkEnd w:id="254"/>
    </w:p>
    <w:p w14:paraId="06EB41EE" w14:textId="3AE4AB8C" w:rsidR="006145A3" w:rsidRPr="00E22B6D" w:rsidRDefault="006145A3" w:rsidP="006145A3">
      <w:pPr>
        <w:pStyle w:val="Para0"/>
      </w:pPr>
      <w:r w:rsidRPr="00E22B6D">
        <w:rPr>
          <w:bCs/>
        </w:rPr>
        <w:t>Indigenous languages</w:t>
      </w:r>
      <w:r w:rsidRPr="00E22B6D">
        <w:t xml:space="preserve"> can improve schooling experiences </w:t>
      </w:r>
      <w:r>
        <w:t xml:space="preserve">and outcomes </w:t>
      </w:r>
      <w:r w:rsidRPr="00E22B6D">
        <w:t xml:space="preserve">for Indigenous students </w:t>
      </w:r>
      <w:r w:rsidR="00DC1469">
        <w:t xml:space="preserve">in </w:t>
      </w:r>
      <w:r w:rsidRPr="00E22B6D">
        <w:rPr>
          <w:bCs/>
        </w:rPr>
        <w:t>multiple ways</w:t>
      </w:r>
      <w:r w:rsidRPr="00E22B6D">
        <w:t>.</w:t>
      </w:r>
    </w:p>
    <w:p w14:paraId="0A4CFCE3" w14:textId="77777777" w:rsidR="006145A3" w:rsidRPr="00E22B6D" w:rsidRDefault="006145A3" w:rsidP="006145A3">
      <w:pPr>
        <w:pStyle w:val="Para0"/>
      </w:pPr>
      <w:r w:rsidRPr="00E22B6D">
        <w:t xml:space="preserve">To summarise points from previous </w:t>
      </w:r>
      <w:r>
        <w:t>sections</w:t>
      </w:r>
      <w:r w:rsidRPr="00E22B6D">
        <w:t>:</w:t>
      </w:r>
    </w:p>
    <w:p w14:paraId="468E577F" w14:textId="28E06951" w:rsidR="006145A3" w:rsidRPr="0042139F" w:rsidRDefault="006145A3" w:rsidP="006145A3">
      <w:pPr>
        <w:pStyle w:val="BulletedList"/>
      </w:pPr>
      <w:r w:rsidRPr="0042139F">
        <w:t xml:space="preserve">Indigenous peoples are </w:t>
      </w:r>
      <w:r w:rsidR="00DC1469">
        <w:t xml:space="preserve">typically </w:t>
      </w:r>
      <w:r w:rsidRPr="0042139F">
        <w:t xml:space="preserve">positive about their languages and their role in education (and negative when this </w:t>
      </w:r>
      <w:r w:rsidRPr="00F3422E">
        <w:t>has</w:t>
      </w:r>
      <w:r w:rsidRPr="0042139F">
        <w:t xml:space="preserve"> been denied them). Most Indigenous people want their languages used and spoken</w:t>
      </w:r>
    </w:p>
    <w:p w14:paraId="5DBF8478" w14:textId="77777777" w:rsidR="006145A3" w:rsidRPr="0042139F" w:rsidRDefault="006145A3" w:rsidP="006145A3">
      <w:pPr>
        <w:pStyle w:val="BulletedList"/>
      </w:pPr>
      <w:r w:rsidRPr="0042139F">
        <w:t>Indigenous peoples connect their languages with their Indigenous culture and knowledge. Their languages are personally significant and culturally valuable. Languages programmes and curricula can offer (locally determined) opportunities which respect and teach Indigenous culture and knowledges</w:t>
      </w:r>
    </w:p>
    <w:p w14:paraId="1749C790" w14:textId="77777777" w:rsidR="006145A3" w:rsidRPr="0042139F" w:rsidRDefault="006145A3" w:rsidP="006145A3">
      <w:pPr>
        <w:pStyle w:val="BulletedList"/>
      </w:pPr>
      <w:r w:rsidRPr="0042139F">
        <w:t>Indigenous peoples live in diverse language ecologies. This diversity necessitates diverse approaches to creating and supporting Indigenous language programmes.</w:t>
      </w:r>
    </w:p>
    <w:p w14:paraId="04799C3C" w14:textId="77777777" w:rsidR="006145A3" w:rsidRPr="009B2047" w:rsidRDefault="006145A3" w:rsidP="006145A3">
      <w:pPr>
        <w:pStyle w:val="Heading2"/>
        <w:numPr>
          <w:ilvl w:val="1"/>
          <w:numId w:val="22"/>
        </w:numPr>
      </w:pPr>
      <w:bookmarkStart w:id="255" w:name="_Ref43126683"/>
      <w:bookmarkStart w:id="256" w:name="_Toc82093578"/>
      <w:bookmarkStart w:id="257" w:name="_Toc95824114"/>
      <w:r w:rsidRPr="009B2047">
        <w:t xml:space="preserve">Mother </w:t>
      </w:r>
      <w:r w:rsidRPr="0042139F">
        <w:t>tongue</w:t>
      </w:r>
      <w:r w:rsidRPr="009B2047">
        <w:t xml:space="preserve">/first language learning </w:t>
      </w:r>
      <w:bookmarkEnd w:id="255"/>
      <w:r w:rsidRPr="009B2047">
        <w:t>programmes</w:t>
      </w:r>
      <w:bookmarkEnd w:id="256"/>
      <w:bookmarkEnd w:id="257"/>
    </w:p>
    <w:p w14:paraId="486B50C2" w14:textId="65EED634" w:rsidR="006145A3" w:rsidRDefault="006145A3" w:rsidP="006145A3">
      <w:pPr>
        <w:pStyle w:val="Para0"/>
      </w:pPr>
      <w:r w:rsidRPr="0007057F">
        <w:t xml:space="preserve">There are diverse programme types and strategies for supporting Indigenous students' learning through their mother tongue/first language. At one end are relatively informal arrangements with purposeful employment of classroom assistants and tutors with </w:t>
      </w:r>
      <w:r w:rsidR="00DC1469">
        <w:t xml:space="preserve">similar </w:t>
      </w:r>
      <w:r w:rsidRPr="0007057F">
        <w:t>language repertoires as the students. At the other are formal dual language curricula and mother tongue medium programmes</w:t>
      </w:r>
      <w:r>
        <w:t xml:space="preserve"> </w:t>
      </w:r>
      <w:r w:rsidRPr="00F30195">
        <w:t>in which classroom instruction takes place in the students' first languages</w:t>
      </w:r>
      <w:r w:rsidRPr="0007057F">
        <w:t>.</w:t>
      </w:r>
    </w:p>
    <w:p w14:paraId="58060DB3" w14:textId="58C0218B" w:rsidR="006145A3" w:rsidRPr="001B341F" w:rsidRDefault="006145A3" w:rsidP="006145A3">
      <w:pPr>
        <w:pStyle w:val="Para0"/>
      </w:pPr>
      <w:r w:rsidRPr="001B341F">
        <w:t xml:space="preserve">Bilingual programmes in Indigenous languages and a national language require a range of skills </w:t>
      </w:r>
      <w:r w:rsidR="00DC1469">
        <w:t>from teachers:</w:t>
      </w:r>
    </w:p>
    <w:p w14:paraId="7B486317" w14:textId="77777777" w:rsidR="006145A3" w:rsidRPr="0042139F" w:rsidRDefault="006145A3" w:rsidP="006145A3">
      <w:pPr>
        <w:pStyle w:val="BulletedList"/>
      </w:pPr>
      <w:r w:rsidRPr="0042139F">
        <w:t>strong oral language skills and usually also literacy in the Indigenous language</w:t>
      </w:r>
    </w:p>
    <w:p w14:paraId="230E6C1C" w14:textId="77777777" w:rsidR="006145A3" w:rsidRPr="0042139F" w:rsidRDefault="006145A3" w:rsidP="006145A3">
      <w:pPr>
        <w:pStyle w:val="BulletedList"/>
      </w:pPr>
      <w:r w:rsidRPr="0042139F">
        <w:t>Indigenous cultural knowledge and authority</w:t>
      </w:r>
    </w:p>
    <w:p w14:paraId="7B56204C" w14:textId="77777777" w:rsidR="006145A3" w:rsidRPr="0042139F" w:rsidRDefault="006145A3" w:rsidP="006145A3">
      <w:pPr>
        <w:pStyle w:val="BulletedList"/>
      </w:pPr>
      <w:r w:rsidRPr="0042139F">
        <w:t>oral and literate language skills in the dominant non-Indigenous language</w:t>
      </w:r>
    </w:p>
    <w:p w14:paraId="3221F14E" w14:textId="77777777" w:rsidR="006145A3" w:rsidRPr="0042139F" w:rsidRDefault="006145A3" w:rsidP="006145A3">
      <w:pPr>
        <w:pStyle w:val="BulletedList"/>
      </w:pPr>
      <w:r w:rsidRPr="0042139F">
        <w:t xml:space="preserve">classroom teacher training and qualifications </w:t>
      </w:r>
    </w:p>
    <w:p w14:paraId="5B33142D" w14:textId="77777777" w:rsidR="006145A3" w:rsidRPr="0042139F" w:rsidRDefault="006145A3" w:rsidP="006145A3">
      <w:pPr>
        <w:pStyle w:val="BulletedList"/>
      </w:pPr>
      <w:r w:rsidRPr="0042139F">
        <w:t>language teaching skills</w:t>
      </w:r>
    </w:p>
    <w:p w14:paraId="5199F031" w14:textId="4D46B7DA" w:rsidR="006145A3" w:rsidRPr="0042139F" w:rsidRDefault="006145A3" w:rsidP="006145A3">
      <w:pPr>
        <w:pStyle w:val="BulletedList"/>
      </w:pPr>
      <w:r w:rsidRPr="0042139F">
        <w:t xml:space="preserve">lesson planning and delivery, </w:t>
      </w:r>
      <w:r w:rsidR="00DC1469">
        <w:t xml:space="preserve">using </w:t>
      </w:r>
      <w:r w:rsidRPr="0042139F">
        <w:t xml:space="preserve">curriculum, assessment and reporting </w:t>
      </w:r>
      <w:r w:rsidR="00DC1469">
        <w:t>frameworks for both languages</w:t>
      </w:r>
    </w:p>
    <w:p w14:paraId="19A06C95" w14:textId="171E3469" w:rsidR="006145A3" w:rsidRPr="0042139F" w:rsidRDefault="006145A3" w:rsidP="006145A3">
      <w:pPr>
        <w:pStyle w:val="BulletedList"/>
      </w:pPr>
      <w:r w:rsidRPr="0042139F">
        <w:t>school administrative</w:t>
      </w:r>
      <w:r w:rsidR="00DC1469">
        <w:t xml:space="preserve"> requirments</w:t>
      </w:r>
      <w:r w:rsidRPr="0042139F">
        <w:t xml:space="preserve">  </w:t>
      </w:r>
    </w:p>
    <w:p w14:paraId="3A724F5E" w14:textId="77777777" w:rsidR="006145A3" w:rsidRPr="0042139F" w:rsidRDefault="006145A3" w:rsidP="006145A3">
      <w:pPr>
        <w:pStyle w:val="BulletedList"/>
      </w:pPr>
      <w:r w:rsidRPr="0042139F">
        <w:t xml:space="preserve">expertise in curriculum development and renewal </w:t>
      </w:r>
    </w:p>
    <w:p w14:paraId="4E5BAEAD" w14:textId="66B2A1DE" w:rsidR="006145A3" w:rsidRPr="0042139F" w:rsidRDefault="006145A3" w:rsidP="006145A3">
      <w:pPr>
        <w:pStyle w:val="BulletedList"/>
      </w:pPr>
      <w:r w:rsidRPr="0042139F">
        <w:t>language and teaching resource development</w:t>
      </w:r>
      <w:r w:rsidR="00DC1469">
        <w:t>.</w:t>
      </w:r>
    </w:p>
    <w:p w14:paraId="2E490169" w14:textId="77777777" w:rsidR="006145A3" w:rsidRPr="001B341F" w:rsidRDefault="006145A3" w:rsidP="006145A3">
      <w:pPr>
        <w:pStyle w:val="Para0"/>
      </w:pPr>
      <w:r w:rsidRPr="001B341F">
        <w:t xml:space="preserve">In small Indigenous language contexts, even where the language is spoken as the community mother tongue, it is often difficult to engage individuals who have all of these skills. Elders are often the best </w:t>
      </w:r>
      <w:r w:rsidRPr="001B341F">
        <w:lastRenderedPageBreak/>
        <w:t>speakers and cultural authorities, but may not have formal teaching qualifications, younger community members may be able to enter teacher training or have undertaken teacher training, but may not feel confident as teachers or in teaching through their language (especially if they did not experience this in their own school education). Non-Indigenous colleagues may have limited target language knowledge and no authority to teach it, but may have skills to support planning and teaching. Departmental support documents need to be adapted</w:t>
      </w:r>
      <w:r>
        <w:t>, meaning</w:t>
      </w:r>
      <w:r w:rsidRPr="001B341F">
        <w:t xml:space="preserve"> departmental support personnel </w:t>
      </w:r>
      <w:r>
        <w:t xml:space="preserve">also </w:t>
      </w:r>
      <w:r w:rsidRPr="001B341F">
        <w:t>need to be brought into the picture.</w:t>
      </w:r>
    </w:p>
    <w:p w14:paraId="41C7D576" w14:textId="77777777" w:rsidR="006145A3" w:rsidRPr="001B341F" w:rsidRDefault="006145A3" w:rsidP="006145A3">
      <w:pPr>
        <w:pStyle w:val="Para0"/>
      </w:pPr>
      <w:r w:rsidRPr="001B341F">
        <w:t xml:space="preserve">Other partners have skills to support language programmes, in and outside of schools: community steering committees; language centres and linguists; music, art, technology teachers and practitioners. </w:t>
      </w:r>
    </w:p>
    <w:p w14:paraId="2A54F22D" w14:textId="77777777" w:rsidR="006145A3" w:rsidRDefault="006145A3" w:rsidP="006145A3">
      <w:pPr>
        <w:pStyle w:val="Para0"/>
      </w:pPr>
      <w:r w:rsidRPr="001B341F">
        <w:t xml:space="preserve">To cover this variety of expertise, a language teaching team is required. The team approach respects the skills and contributions of all. The team approach is necessary to create successful and sustainable bilingual programmes in Indigenous language contexts. </w:t>
      </w:r>
    </w:p>
    <w:tbl>
      <w:tblPr>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6145A3" w:rsidRPr="00E2226B" w14:paraId="00718892" w14:textId="77777777" w:rsidTr="003E4CEC">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17DB67D1" w14:textId="5A92238C" w:rsidR="006145A3" w:rsidRDefault="006145A3" w:rsidP="0078341D">
            <w:pPr>
              <w:pStyle w:val="Caption"/>
              <w:keepNext w:val="0"/>
            </w:pPr>
            <w:bookmarkStart w:id="258" w:name="_Toc79418130"/>
            <w:r w:rsidRPr="00B44A50">
              <w:t>Box</w:t>
            </w:r>
            <w:r>
              <w:t> </w:t>
            </w:r>
            <w:r>
              <w:rPr>
                <w:noProof/>
              </w:rPr>
              <w:fldChar w:fldCharType="begin"/>
            </w:r>
            <w:r>
              <w:rPr>
                <w:noProof/>
              </w:rPr>
              <w:instrText xml:space="preserve"> STYLEREF 1 \s </w:instrText>
            </w:r>
            <w:r>
              <w:rPr>
                <w:noProof/>
              </w:rPr>
              <w:fldChar w:fldCharType="separate"/>
            </w:r>
            <w:r w:rsidR="00CA5B8D">
              <w:rPr>
                <w:noProof/>
              </w:rPr>
              <w:t>7</w:t>
            </w:r>
            <w:r>
              <w:rPr>
                <w:noProof/>
              </w:rPr>
              <w:fldChar w:fldCharType="end"/>
            </w:r>
            <w:r>
              <w:t>.</w:t>
            </w:r>
            <w:r>
              <w:rPr>
                <w:noProof/>
              </w:rPr>
              <w:fldChar w:fldCharType="begin"/>
            </w:r>
            <w:r>
              <w:rPr>
                <w:noProof/>
              </w:rPr>
              <w:instrText xml:space="preserve"> SEQ Box \* ARABIC \s 1 </w:instrText>
            </w:r>
            <w:r>
              <w:rPr>
                <w:noProof/>
              </w:rPr>
              <w:fldChar w:fldCharType="separate"/>
            </w:r>
            <w:r w:rsidR="00CA5B8D">
              <w:rPr>
                <w:noProof/>
              </w:rPr>
              <w:t>1</w:t>
            </w:r>
            <w:r>
              <w:rPr>
                <w:noProof/>
              </w:rPr>
              <w:fldChar w:fldCharType="end"/>
            </w:r>
            <w:r>
              <w:t xml:space="preserve">. </w:t>
            </w:r>
            <w:r w:rsidRPr="00F3422E">
              <w:t>Teaching teams and team teaching, Northern Territory Australia</w:t>
            </w:r>
          </w:p>
          <w:p w14:paraId="572A6AA2" w14:textId="4C19D1A6" w:rsidR="006145A3" w:rsidRPr="00852D94" w:rsidRDefault="006145A3" w:rsidP="0078341D">
            <w:pPr>
              <w:pStyle w:val="Para0"/>
            </w:pPr>
            <w:r w:rsidRPr="00852D94">
              <w:t>When the Northern Territory Bilingual Programme</w:t>
            </w:r>
            <w:r>
              <w:t xml:space="preserve"> </w:t>
            </w:r>
            <w:r w:rsidRPr="00852D94">
              <w:t xml:space="preserve">commenced in traditional-language speaking, very remote schools in Australia in 1974, non-Aboriginal teachers were generally not experienced or trained in teaching English as a Second Language, bilingual education delivery, or familiar with the local language of their students and only a handful of Aboriginal people were teacher trained. A </w:t>
            </w:r>
            <w:r w:rsidRPr="00F3422E">
              <w:t>model</w:t>
            </w:r>
            <w:r w:rsidRPr="00852D94">
              <w:t xml:space="preserve"> of team-teaching was developed to support the </w:t>
            </w:r>
            <w:r>
              <w:t>programme.</w:t>
            </w:r>
            <w:r w:rsidRPr="00852D94">
              <w:t xml:space="preserve"> Three elements made up the model – Learning Together, Planning Together and Teaching Together (</w:t>
            </w:r>
            <w:r w:rsidR="005C35BB">
              <w:t>Graham</w:t>
            </w:r>
            <w:r w:rsidR="005C35BB">
              <w:rPr>
                <w:shd w:val="clear" w:color="auto" w:fill="B0EB81" w:themeFill="accent4" w:themeFillTint="66"/>
              </w:rPr>
              <w:t>,</w:t>
            </w:r>
            <w:r w:rsidRPr="00852D94">
              <w:t xml:space="preserve"> 2017). To support the programmes and teaching team, a Teacher-Linguist was engaged in each school. </w:t>
            </w:r>
          </w:p>
          <w:p w14:paraId="11499B0D" w14:textId="77777777" w:rsidR="006145A3" w:rsidRPr="00852D94" w:rsidRDefault="006145A3" w:rsidP="0078341D">
            <w:pPr>
              <w:pStyle w:val="Para0"/>
            </w:pPr>
            <w:r w:rsidRPr="00852D94">
              <w:t>Learning Together is formalised in regular, whole of school professional learning sessions, designed to equip all school staff with knowledge and skills to deliver programme</w:t>
            </w:r>
            <w:r>
              <w:t xml:space="preserve">s </w:t>
            </w:r>
            <w:r w:rsidRPr="00852D94">
              <w:t xml:space="preserve">as a team, provided by members of the team. Such sessions include local language and cultural learning for non-local staff, </w:t>
            </w:r>
            <w:r w:rsidRPr="00F3422E">
              <w:t>traditional</w:t>
            </w:r>
            <w:r w:rsidRPr="00852D94">
              <w:t xml:space="preserve"> language literacy learning, unpacking and developing ways to deliver curriculum and approaches to pedagogy for specific learning areas, such as maths or science concepts. </w:t>
            </w:r>
          </w:p>
          <w:p w14:paraId="4FCDFF2A" w14:textId="0A31B4CC" w:rsidR="006145A3" w:rsidRPr="00852D94" w:rsidRDefault="006145A3" w:rsidP="0078341D">
            <w:pPr>
              <w:pStyle w:val="Para0"/>
            </w:pPr>
            <w:r w:rsidRPr="00852D94">
              <w:t xml:space="preserve">Planning Together involves all educators, fully qualified, assistant and, </w:t>
            </w:r>
            <w:r w:rsidRPr="00F3422E">
              <w:t>where</w:t>
            </w:r>
            <w:r w:rsidRPr="00852D94">
              <w:t xml:space="preserve"> relevant, community members coming together to plan the class </w:t>
            </w:r>
            <w:r>
              <w:t>programme.</w:t>
            </w:r>
            <w:r w:rsidRPr="00852D94">
              <w:t xml:space="preserve"> This way each educator take part in establishing and planning the learning outcomes for students, the strategies for achieving them and their role in classes </w:t>
            </w:r>
            <w:sdt>
              <w:sdtPr>
                <w:id w:val="1063218436"/>
                <w:citation/>
              </w:sdtPr>
              <w:sdtEndPr/>
              <w:sdtContent>
                <w:r w:rsidR="00487C2C">
                  <w:fldChar w:fldCharType="begin"/>
                </w:r>
                <w:r w:rsidR="00487C2C">
                  <w:instrText xml:space="preserve"> CITATION Bow99 \l 2057  \m Mur17</w:instrText>
                </w:r>
                <w:r w:rsidR="00487C2C">
                  <w:fldChar w:fldCharType="separate"/>
                </w:r>
                <w:bookmarkStart w:id="259" w:name="Mur17_173"/>
                <w:r w:rsidR="00487C2C" w:rsidRPr="00487C2C">
                  <w:rPr>
                    <w:noProof/>
                  </w:rPr>
                  <w:t>(Bowman, Pascoe and Joy, 1999</w:t>
                </w:r>
                <w:r w:rsidR="00487C2C" w:rsidRPr="00487C2C">
                  <w:rPr>
                    <w:noProof/>
                    <w:vertAlign w:val="subscript"/>
                  </w:rPr>
                  <w:t>[172]</w:t>
                </w:r>
                <w:r w:rsidR="00487C2C" w:rsidRPr="00487C2C">
                  <w:rPr>
                    <w:noProof/>
                  </w:rPr>
                  <w:t>; Murray, 2017</w:t>
                </w:r>
                <w:r w:rsidR="00487C2C" w:rsidRPr="00487C2C">
                  <w:rPr>
                    <w:noProof/>
                    <w:vertAlign w:val="subscript"/>
                  </w:rPr>
                  <w:t>[173]</w:t>
                </w:r>
                <w:r w:rsidR="00487C2C" w:rsidRPr="00487C2C">
                  <w:rPr>
                    <w:noProof/>
                  </w:rPr>
                  <w:t>)</w:t>
                </w:r>
                <w:bookmarkEnd w:id="259"/>
                <w:r w:rsidR="00487C2C">
                  <w:fldChar w:fldCharType="end"/>
                </w:r>
              </w:sdtContent>
            </w:sdt>
            <w:r w:rsidRPr="00852D94">
              <w:t xml:space="preserve"> It also builds the group knowledge on planning and reviewing lessons, assessment and programme</w:t>
            </w:r>
            <w:r>
              <w:t xml:space="preserve"> </w:t>
            </w:r>
            <w:r w:rsidRPr="00852D94">
              <w:t xml:space="preserve">monitoring. </w:t>
            </w:r>
          </w:p>
          <w:p w14:paraId="2CC2C600" w14:textId="77777777" w:rsidR="006145A3" w:rsidRPr="00852D94" w:rsidRDefault="006145A3" w:rsidP="0078341D">
            <w:pPr>
              <w:pStyle w:val="Para0"/>
            </w:pPr>
            <w:r w:rsidRPr="00852D94">
              <w:t xml:space="preserve">Teaching Together from purposeful planning means that the skills of each </w:t>
            </w:r>
            <w:r w:rsidRPr="00F3422E">
              <w:t>member</w:t>
            </w:r>
            <w:r w:rsidRPr="00852D94">
              <w:t xml:space="preserve">, consolidated through learning together, is appropriately deployed in classes. </w:t>
            </w:r>
          </w:p>
          <w:p w14:paraId="4732BC60" w14:textId="4CDD875D" w:rsidR="006145A3" w:rsidRPr="00775FF9" w:rsidRDefault="006145A3" w:rsidP="00DF39E6">
            <w:pPr>
              <w:pStyle w:val="Para0"/>
            </w:pPr>
            <w:r w:rsidRPr="00852D94">
              <w:t xml:space="preserve">Team-teaching as set out for Northern Territory Bilingual Programs may not exactly fit all teaching contexts, however, the principles of building and sharing knowledge in collaborative teams is a frequent theme in Indigenous language and culture learning programmes </w:t>
            </w:r>
            <w:sdt>
              <w:sdtPr>
                <w:id w:val="931392705"/>
                <w:citation/>
              </w:sdtPr>
              <w:sdtEndPr/>
              <w:sdtContent>
                <w:r w:rsidR="00DF39E6">
                  <w:fldChar w:fldCharType="begin"/>
                </w:r>
                <w:r w:rsidR="00DF39E6">
                  <w:instrText xml:space="preserve">CITATION Edu17 \l 2057 </w:instrText>
                </w:r>
                <w:r w:rsidR="00DF39E6">
                  <w:fldChar w:fldCharType="separate"/>
                </w:r>
                <w:r w:rsidR="00DF39E6" w:rsidRPr="00DF39E6">
                  <w:rPr>
                    <w:noProof/>
                  </w:rPr>
                  <w:t>(</w:t>
                </w:r>
                <w:bookmarkStart w:id="260" w:name="Edu17_174"/>
                <w:r w:rsidR="00DF39E6" w:rsidRPr="00DF39E6">
                  <w:rPr>
                    <w:noProof/>
                  </w:rPr>
                  <w:t>Northern Territory Department of Education, 2017</w:t>
                </w:r>
                <w:r w:rsidR="00DF39E6" w:rsidRPr="00DF39E6">
                  <w:rPr>
                    <w:noProof/>
                    <w:vertAlign w:val="subscript"/>
                  </w:rPr>
                  <w:t>[174]</w:t>
                </w:r>
                <w:r w:rsidR="00DF39E6" w:rsidRPr="00DF39E6">
                  <w:rPr>
                    <w:noProof/>
                  </w:rPr>
                  <w:t>)</w:t>
                </w:r>
                <w:bookmarkEnd w:id="260"/>
                <w:r w:rsidR="00DF39E6">
                  <w:fldChar w:fldCharType="end"/>
                </w:r>
              </w:sdtContent>
            </w:sdt>
            <w:r w:rsidRPr="00852D94">
              <w:t>.</w:t>
            </w:r>
          </w:p>
        </w:tc>
      </w:tr>
    </w:tbl>
    <w:p w14:paraId="66B20E5F" w14:textId="77777777" w:rsidR="006145A3" w:rsidRPr="009B2047" w:rsidRDefault="006145A3" w:rsidP="006145A3">
      <w:pPr>
        <w:pStyle w:val="Heading2"/>
        <w:numPr>
          <w:ilvl w:val="1"/>
          <w:numId w:val="22"/>
        </w:numPr>
      </w:pPr>
      <w:bookmarkStart w:id="261" w:name="_Toc82093579"/>
      <w:bookmarkStart w:id="262" w:name="_Toc95824115"/>
      <w:bookmarkEnd w:id="258"/>
      <w:r w:rsidRPr="009B2047">
        <w:t>Second/</w:t>
      </w:r>
      <w:r w:rsidRPr="0042139F">
        <w:t>additional</w:t>
      </w:r>
      <w:r w:rsidRPr="009B2047">
        <w:t xml:space="preserve"> Indigenous language learning programmes</w:t>
      </w:r>
      <w:bookmarkEnd w:id="261"/>
      <w:bookmarkEnd w:id="262"/>
    </w:p>
    <w:p w14:paraId="57DE3B56" w14:textId="77777777" w:rsidR="006145A3" w:rsidRPr="00CB498E" w:rsidRDefault="006145A3" w:rsidP="006145A3">
      <w:pPr>
        <w:pStyle w:val="Heading3"/>
        <w:numPr>
          <w:ilvl w:val="2"/>
          <w:numId w:val="22"/>
        </w:numPr>
      </w:pPr>
      <w:r>
        <w:t>L</w:t>
      </w:r>
      <w:r w:rsidRPr="00CB498E">
        <w:t xml:space="preserve">earning in an </w:t>
      </w:r>
      <w:r w:rsidRPr="0042139F">
        <w:t>Indigenous</w:t>
      </w:r>
      <w:r w:rsidRPr="00CB498E">
        <w:t xml:space="preserve"> language revival context </w:t>
      </w:r>
    </w:p>
    <w:p w14:paraId="03973082" w14:textId="30B2CFC9" w:rsidR="006145A3" w:rsidRDefault="006145A3" w:rsidP="006145A3">
      <w:pPr>
        <w:pStyle w:val="Para0"/>
      </w:pPr>
      <w:r w:rsidRPr="0066041B">
        <w:t xml:space="preserve">Language revival programmes involve Indigenous language learning on multiple levels. In these language ecologies, the Indigenous language is learned by adults who will then teach it to children. The Kaurna </w:t>
      </w:r>
      <w:r w:rsidRPr="0066041B">
        <w:lastRenderedPageBreak/>
        <w:t xml:space="preserve">language of Adelaide in South Australia, for example, has been undergoing a process of reawakening. It is being reconstructed from archival records through the collective efforts of the group Kaurna Warra Pintyanthi, consisting of Kaurna people, linguists, teachers and language enthusiasts </w:t>
      </w:r>
      <w:sdt>
        <w:sdtPr>
          <w:id w:val="1782606105"/>
          <w:citation/>
        </w:sdtPr>
        <w:sdtEndPr/>
        <w:sdtContent>
          <w:r w:rsidR="000B6A07">
            <w:fldChar w:fldCharType="begin"/>
          </w:r>
          <w:r w:rsidR="000B6A07">
            <w:instrText xml:space="preserve">CITATION Pinnd \l 2057 </w:instrText>
          </w:r>
          <w:r w:rsidR="000B6A07">
            <w:fldChar w:fldCharType="separate"/>
          </w:r>
          <w:r w:rsidR="000B6A07" w:rsidRPr="000B6A07">
            <w:rPr>
              <w:noProof/>
            </w:rPr>
            <w:t>(</w:t>
          </w:r>
          <w:bookmarkStart w:id="263" w:name="Pinnd_175"/>
          <w:r w:rsidR="000B6A07" w:rsidRPr="000B6A07">
            <w:rPr>
              <w:noProof/>
            </w:rPr>
            <w:t>Kaurna Warra Pintyanthi, n.d.</w:t>
          </w:r>
          <w:r w:rsidR="000B6A07" w:rsidRPr="000B6A07">
            <w:rPr>
              <w:noProof/>
              <w:vertAlign w:val="subscript"/>
            </w:rPr>
            <w:t>[175]</w:t>
          </w:r>
          <w:r w:rsidR="000B6A07" w:rsidRPr="000B6A07">
            <w:rPr>
              <w:noProof/>
            </w:rPr>
            <w:t>)</w:t>
          </w:r>
          <w:bookmarkEnd w:id="263"/>
          <w:r w:rsidR="000B6A07">
            <w:fldChar w:fldCharType="end"/>
          </w:r>
        </w:sdtContent>
      </w:sdt>
      <w:r w:rsidRPr="0066041B">
        <w:t>.</w:t>
      </w:r>
    </w:p>
    <w:p w14:paraId="5A2C8BAB" w14:textId="0C1ED4BB" w:rsidR="006145A3" w:rsidRPr="0066041B" w:rsidRDefault="006145A3" w:rsidP="006145A3">
      <w:pPr>
        <w:pStyle w:val="Para0"/>
      </w:pPr>
      <w:r w:rsidRPr="0066041B">
        <w:t xml:space="preserve">Kaurna people involved in relearning their language have taken on teaching and co-teaching roles. They have now been teaching Kaurna in schools for almost three decades, in a language ecology where children are speakers of English varieties. Kaurna is taught and learned in formal courses in post-school settings, including vocational education and within a university course on language revival </w:t>
      </w:r>
      <w:sdt>
        <w:sdtPr>
          <w:id w:val="-2124990447"/>
          <w:citation/>
        </w:sdtPr>
        <w:sdtEndPr/>
        <w:sdtContent>
          <w:r w:rsidR="00C57E51">
            <w:fldChar w:fldCharType="begin"/>
          </w:r>
          <w:r w:rsidR="00C57E51">
            <w:instrText xml:space="preserve"> CITATION Ame16 \l 2057  \m Fir181</w:instrText>
          </w:r>
          <w:r w:rsidR="00C57E51">
            <w:fldChar w:fldCharType="separate"/>
          </w:r>
          <w:r w:rsidR="00C57E51" w:rsidRPr="00C57E51">
            <w:rPr>
              <w:noProof/>
            </w:rPr>
            <w:t>(Amery, 2016</w:t>
          </w:r>
          <w:r w:rsidR="00C57E51" w:rsidRPr="00C57E51">
            <w:rPr>
              <w:noProof/>
              <w:vertAlign w:val="subscript"/>
            </w:rPr>
            <w:t>[176]</w:t>
          </w:r>
          <w:r w:rsidR="00C57E51" w:rsidRPr="00C57E51">
            <w:rPr>
              <w:noProof/>
            </w:rPr>
            <w:t>; First Languages Australia, 2018</w:t>
          </w:r>
          <w:r w:rsidR="00C57E51" w:rsidRPr="00C57E51">
            <w:rPr>
              <w:noProof/>
              <w:vertAlign w:val="subscript"/>
            </w:rPr>
            <w:t>[78]</w:t>
          </w:r>
          <w:r w:rsidR="00C57E51" w:rsidRPr="00C57E51">
            <w:rPr>
              <w:noProof/>
            </w:rPr>
            <w:t>)</w:t>
          </w:r>
          <w:r w:rsidR="00C57E51">
            <w:fldChar w:fldCharType="end"/>
          </w:r>
        </w:sdtContent>
      </w:sdt>
      <w:r w:rsidRPr="0066041B">
        <w:t xml:space="preserve">. </w:t>
      </w:r>
    </w:p>
    <w:p w14:paraId="79F711E8" w14:textId="77777777" w:rsidR="006145A3" w:rsidRDefault="006145A3" w:rsidP="006145A3">
      <w:pPr>
        <w:pStyle w:val="Heading3"/>
        <w:numPr>
          <w:ilvl w:val="2"/>
          <w:numId w:val="22"/>
        </w:numPr>
      </w:pPr>
      <w:r>
        <w:t xml:space="preserve">Learning </w:t>
      </w:r>
      <w:r w:rsidRPr="00CB498E">
        <w:t xml:space="preserve">in an </w:t>
      </w:r>
      <w:r w:rsidRPr="0042139F">
        <w:t>Indigenous</w:t>
      </w:r>
      <w:r w:rsidRPr="00CB498E">
        <w:t xml:space="preserve"> </w:t>
      </w:r>
      <w:r>
        <w:t>second/additional</w:t>
      </w:r>
      <w:r w:rsidRPr="00CB498E">
        <w:t xml:space="preserve"> </w:t>
      </w:r>
      <w:r>
        <w:t>language programme</w:t>
      </w:r>
    </w:p>
    <w:p w14:paraId="1676FBFA" w14:textId="2BFC220A" w:rsidR="006145A3" w:rsidRPr="0066041B" w:rsidRDefault="006145A3" w:rsidP="006145A3">
      <w:pPr>
        <w:pStyle w:val="Para0"/>
      </w:pPr>
      <w:r w:rsidRPr="0066041B">
        <w:t xml:space="preserve">At </w:t>
      </w:r>
      <w:r w:rsidR="00DC1469">
        <w:t>an</w:t>
      </w:r>
      <w:r w:rsidRPr="0066041B">
        <w:t xml:space="preserve">other end of the second/additional language teaching and learning spectrum is an Aboriginal language programme taught in an urban high school in the Northern Territory, Australia. In this school, Aboriginal and non-Aboriginal students are typically English speakers. They have the opportunity to study an Indigenous language. The course teaches a 'strong' Indigenous language which is spoken in Aboriginal communities from another area, with permission from Aboriginal peoples in the school area, as well as from the traditional country of the target language in the </w:t>
      </w:r>
      <w:r>
        <w:t>programme.</w:t>
      </w:r>
      <w:r w:rsidRPr="0066041B">
        <w:t xml:space="preserve"> The Languages curriculum area otherwise teaches overseas languages. The programme targets middle school students (years 7-9) of this urban high school. All students engage in the course for a semester, after which students can choose </w:t>
      </w:r>
      <w:r w:rsidR="00DC1469">
        <w:t xml:space="preserve">whether </w:t>
      </w:r>
      <w:r w:rsidRPr="0066041B">
        <w:t xml:space="preserve">to further pursue this language study. </w:t>
      </w:r>
    </w:p>
    <w:p w14:paraId="6DAD61B0" w14:textId="77777777" w:rsidR="006145A3" w:rsidRPr="0042139F" w:rsidRDefault="006145A3" w:rsidP="006145A3">
      <w:pPr>
        <w:pStyle w:val="Quote"/>
      </w:pPr>
      <w:r w:rsidRPr="0042139F">
        <w:t xml:space="preserve">The program  was introduced as a way of increasing the number of Aboriginal students who achieve in the Languages learning area of the middle school curriculum and to provide a foundation for the study of Aboriginal languages in senior secondary school. It was intended to enhance the understanding of Aboriginal cultures and to develop empathy among non-Aboriginal students enrolled in the program. </w:t>
      </w:r>
    </w:p>
    <w:p w14:paraId="2F897BCC" w14:textId="6143786F" w:rsidR="006145A3" w:rsidRPr="0042139F" w:rsidRDefault="008D0BBE" w:rsidP="006145A3">
      <w:pPr>
        <w:pStyle w:val="Quote"/>
      </w:pPr>
      <w:sdt>
        <w:sdtPr>
          <w:id w:val="-296679328"/>
          <w:citation/>
        </w:sdtPr>
        <w:sdtEndPr/>
        <w:sdtContent>
          <w:r w:rsidR="00466773">
            <w:fldChar w:fldCharType="begin"/>
          </w:r>
          <w:r w:rsidR="00466773">
            <w:instrText xml:space="preserve">CITATION Dep17 \p 43 \l 2057 </w:instrText>
          </w:r>
          <w:r w:rsidR="00466773">
            <w:fldChar w:fldCharType="separate"/>
          </w:r>
          <w:r w:rsidR="00466773" w:rsidRPr="00466773">
            <w:rPr>
              <w:noProof/>
            </w:rPr>
            <w:t>(Department of Education, 2017, p. 43</w:t>
          </w:r>
          <w:r w:rsidR="00466773" w:rsidRPr="00466773">
            <w:rPr>
              <w:noProof/>
              <w:vertAlign w:val="subscript"/>
            </w:rPr>
            <w:t>[177]</w:t>
          </w:r>
          <w:r w:rsidR="00466773" w:rsidRPr="00466773">
            <w:rPr>
              <w:noProof/>
            </w:rPr>
            <w:t>)</w:t>
          </w:r>
          <w:r w:rsidR="00466773">
            <w:fldChar w:fldCharType="end"/>
          </w:r>
        </w:sdtContent>
      </w:sdt>
    </w:p>
    <w:p w14:paraId="485F1973" w14:textId="36093709" w:rsidR="006145A3" w:rsidRDefault="006145A3" w:rsidP="006145A3">
      <w:pPr>
        <w:pStyle w:val="Para0"/>
      </w:pPr>
      <w:r w:rsidRPr="0066041B">
        <w:t xml:space="preserve">The programme has been successfully running for some years. The school administration considers the increased presence of Indigenous adults </w:t>
      </w:r>
      <w:r w:rsidR="00DC1469">
        <w:t xml:space="preserve">in language </w:t>
      </w:r>
      <w:r w:rsidRPr="0066041B">
        <w:t xml:space="preserve">teachers </w:t>
      </w:r>
      <w:r w:rsidR="00DC1469">
        <w:t xml:space="preserve">roles </w:t>
      </w:r>
      <w:r w:rsidRPr="0066041B">
        <w:t>at the school to have been a positive influence on the school culture.</w:t>
      </w:r>
    </w:p>
    <w:p w14:paraId="1A91196E" w14:textId="37C2F9F1" w:rsidR="00DC1469" w:rsidRDefault="00DC1469" w:rsidP="006145A3">
      <w:pPr>
        <w:pStyle w:val="Para0"/>
      </w:pPr>
      <w:r>
        <w:t xml:space="preserve">In Aotearoa New Zeland, most students – </w:t>
      </w:r>
      <w:r w:rsidRPr="00CB498E">
        <w:t>Māori</w:t>
      </w:r>
      <w:r>
        <w:t xml:space="preserve"> and non-</w:t>
      </w:r>
      <w:r w:rsidRPr="00CB498E">
        <w:t>Māori</w:t>
      </w:r>
      <w:r>
        <w:t xml:space="preserve"> – experience </w:t>
      </w:r>
      <w:r w:rsidRPr="00CB498E">
        <w:t>Māori</w:t>
      </w:r>
      <w:r>
        <w:t xml:space="preserve"> language programmes taught as a second language, within a curriculum otherwise delivered in English medium. At 1 July 2019, 22.0% of the total school population were involved in </w:t>
      </w:r>
      <w:r w:rsidRPr="00CB498E">
        <w:t>Māori</w:t>
      </w:r>
      <w:r>
        <w:t xml:space="preserve"> language in English-medium schooling, compared to 21.1% in 2018. Of these 179 810 students, 36% identified as Māori.</w:t>
      </w:r>
    </w:p>
    <w:p w14:paraId="2E5A3505" w14:textId="58618EAD" w:rsidR="00DC1469" w:rsidRPr="0066041B" w:rsidRDefault="00DC1469" w:rsidP="006145A3">
      <w:pPr>
        <w:pStyle w:val="Para0"/>
      </w:pPr>
      <w:r w:rsidRPr="00E22B6D">
        <w:t>A recent evaluation of English medium progr</w:t>
      </w:r>
      <w:r>
        <w:t>ammes in primary schools (years </w:t>
      </w:r>
      <w:r w:rsidRPr="00E22B6D">
        <w:t xml:space="preserve">1-8) found the majority of participating Māori students to be positive about their language learning experiences </w:t>
      </w:r>
      <w:sdt>
        <w:sdtPr>
          <w:id w:val="-1942281806"/>
          <w:citation/>
        </w:sdtPr>
        <w:sdtEndPr/>
        <w:sdtContent>
          <w:r>
            <w:fldChar w:fldCharType="begin"/>
          </w:r>
          <w:r>
            <w:instrText xml:space="preserve">CITATION Lim19 \l 2057 </w:instrText>
          </w:r>
          <w:r>
            <w:fldChar w:fldCharType="separate"/>
          </w:r>
          <w:r w:rsidRPr="00455D6D">
            <w:rPr>
              <w:noProof/>
            </w:rPr>
            <w:t>(</w:t>
          </w:r>
          <w:bookmarkStart w:id="264" w:name="Lim19_184"/>
          <w:r w:rsidRPr="00455D6D">
            <w:rPr>
              <w:noProof/>
            </w:rPr>
            <w:t>Haemata Limited, 2019</w:t>
          </w:r>
          <w:r w:rsidRPr="00455D6D">
            <w:rPr>
              <w:noProof/>
              <w:vertAlign w:val="subscript"/>
            </w:rPr>
            <w:t>[184]</w:t>
          </w:r>
          <w:r w:rsidRPr="00455D6D">
            <w:rPr>
              <w:noProof/>
            </w:rPr>
            <w:t>)</w:t>
          </w:r>
          <w:bookmarkEnd w:id="264"/>
          <w:r>
            <w:fldChar w:fldCharType="end"/>
          </w:r>
        </w:sdtContent>
      </w:sdt>
      <w:r>
        <w:t>. A majority (73%</w:t>
      </w:r>
      <w:r w:rsidRPr="00E22B6D">
        <w:t xml:space="preserve">) of participating students stated they intended to continue learning Māori </w:t>
      </w:r>
      <w:sdt>
        <w:sdtPr>
          <w:id w:val="1284307954"/>
          <w:citation/>
        </w:sdtPr>
        <w:sdtEndPr/>
        <w:sdtContent>
          <w:r>
            <w:fldChar w:fldCharType="begin"/>
          </w:r>
          <w:r>
            <w:instrText xml:space="preserve">CITATION Lim19 \p 43 \n  \y  \l 2057 </w:instrText>
          </w:r>
          <w:r>
            <w:fldChar w:fldCharType="separate"/>
          </w:r>
          <w:r w:rsidRPr="00455D6D">
            <w:rPr>
              <w:noProof/>
            </w:rPr>
            <w:t>(p. 43</w:t>
          </w:r>
          <w:r w:rsidRPr="00455D6D">
            <w:rPr>
              <w:noProof/>
              <w:vertAlign w:val="subscript"/>
            </w:rPr>
            <w:t>[184]</w:t>
          </w:r>
          <w:r w:rsidRPr="00455D6D">
            <w:rPr>
              <w:noProof/>
            </w:rPr>
            <w:t>)</w:t>
          </w:r>
          <w:r>
            <w:fldChar w:fldCharType="end"/>
          </w:r>
        </w:sdtContent>
      </w:sdt>
      <w:r w:rsidRPr="00E22B6D">
        <w:t xml:space="preserve">. Some of the reasons they gave for learning Māori included responsibility to family and as a New Zealander, as well as future employment </w:t>
      </w:r>
      <w:sdt>
        <w:sdtPr>
          <w:id w:val="-1184736852"/>
          <w:citation/>
        </w:sdtPr>
        <w:sdtEndPr/>
        <w:sdtContent>
          <w:r>
            <w:fldChar w:fldCharType="begin"/>
          </w:r>
          <w:r>
            <w:instrText xml:space="preserve">CITATION Lim19 \p 45 \n  \y  \l 2057 </w:instrText>
          </w:r>
          <w:r>
            <w:fldChar w:fldCharType="separate"/>
          </w:r>
          <w:r w:rsidRPr="00455D6D">
            <w:rPr>
              <w:noProof/>
            </w:rPr>
            <w:t>(p. 45</w:t>
          </w:r>
          <w:r w:rsidRPr="00455D6D">
            <w:rPr>
              <w:noProof/>
              <w:vertAlign w:val="subscript"/>
            </w:rPr>
            <w:t>[184]</w:t>
          </w:r>
          <w:r w:rsidRPr="00455D6D">
            <w:rPr>
              <w:noProof/>
            </w:rPr>
            <w:t>)</w:t>
          </w:r>
          <w:r>
            <w:fldChar w:fldCharType="end"/>
          </w:r>
        </w:sdtContent>
      </w:sdt>
      <w:r w:rsidRPr="00E22B6D">
        <w:t xml:space="preserve">. The evaluators noted that Māori language programmes involved students with motivated teachers and strong community connections, which contributed </w:t>
      </w:r>
      <w:r>
        <w:t>to positive learning outcomes.</w:t>
      </w:r>
    </w:p>
    <w:p w14:paraId="0360308A" w14:textId="4BF2AE03" w:rsidR="006145A3" w:rsidRPr="00CB498E" w:rsidRDefault="006145A3" w:rsidP="00DC1469">
      <w:pPr>
        <w:pStyle w:val="Heading3"/>
        <w:numPr>
          <w:ilvl w:val="0"/>
          <w:numId w:val="0"/>
        </w:numPr>
      </w:pPr>
      <w:r w:rsidRPr="00CB498E">
        <w:t>Immersion/</w:t>
      </w:r>
      <w:r w:rsidRPr="00F777FC">
        <w:t>Content and Language Integrated Learning</w:t>
      </w:r>
      <w:r w:rsidRPr="00CB498E">
        <w:t xml:space="preserve"> and Indigenous language revitalisation</w:t>
      </w:r>
    </w:p>
    <w:p w14:paraId="1C32D6DB" w14:textId="77777777" w:rsidR="006145A3" w:rsidRPr="0066041B" w:rsidRDefault="006145A3" w:rsidP="006145A3">
      <w:pPr>
        <w:pStyle w:val="Para0"/>
      </w:pPr>
      <w:r w:rsidRPr="0066041B">
        <w:t>In Canada and Aotearoa New Zealand, there is also a focus on immersion/</w:t>
      </w:r>
      <w:r>
        <w:t>content and integrated learning</w:t>
      </w:r>
      <w:r w:rsidRPr="0066041B">
        <w:t xml:space="preserve"> as a programme type particularly suitable and effective for contexts with proficient Indigenous language speakers who deliver lessons across a variety of curriculum areas. This applies to some revitalisation </w:t>
      </w:r>
      <w:r w:rsidRPr="0066041B">
        <w:lastRenderedPageBreak/>
        <w:t>contexts where an older generation of speakers is available but transmission to younger generations has been disrupted.</w:t>
      </w:r>
    </w:p>
    <w:p w14:paraId="6569564A" w14:textId="788B82A0" w:rsidR="006145A3" w:rsidRPr="0066041B" w:rsidRDefault="006145A3" w:rsidP="006145A3">
      <w:pPr>
        <w:pStyle w:val="Para0"/>
      </w:pPr>
      <w:r w:rsidRPr="0066041B">
        <w:t>From a basic classroom language teaching point of view, more teaching and learning time spent on richly contextualised and purposeful language lessons should result in more learning of a target language</w:t>
      </w:r>
      <w:r>
        <w:t xml:space="preserve">. </w:t>
      </w:r>
      <w:r w:rsidRPr="0066041B">
        <w:t xml:space="preserve">From a language community point of view, the growth of an Indigenous language into new domains of core curriculum areas pushes back at the shrinking domains for Indigenous languages in settler-colonial societies. The language planning between language speakers and language teachers, the teaching </w:t>
      </w:r>
      <w:r>
        <w:t>and</w:t>
      </w:r>
      <w:r w:rsidRPr="0066041B">
        <w:t xml:space="preserve"> learning interactions, and use outside the lesson </w:t>
      </w:r>
      <w:r>
        <w:t xml:space="preserve">all </w:t>
      </w:r>
      <w:r w:rsidR="00DC1469">
        <w:t xml:space="preserve">contribute to increasing the use and knowledge of the </w:t>
      </w:r>
      <w:r w:rsidRPr="0066041B">
        <w:t>language.</w:t>
      </w:r>
    </w:p>
    <w:p w14:paraId="152040B5" w14:textId="0C09B30F" w:rsidR="006145A3" w:rsidRPr="00CB498E" w:rsidRDefault="006145A3" w:rsidP="006145A3">
      <w:pPr>
        <w:pStyle w:val="Para0"/>
      </w:pPr>
      <w:r>
        <w:t>In Aotearoa New Zealand, e</w:t>
      </w:r>
      <w:r w:rsidRPr="00CB498E">
        <w:t xml:space="preserve">fforts to revitalise </w:t>
      </w:r>
      <w:r w:rsidRPr="00A9006F">
        <w:rPr>
          <w:i/>
          <w:iCs/>
        </w:rPr>
        <w:t>te reo Māori</w:t>
      </w:r>
      <w:r w:rsidRPr="00CB498E">
        <w:t xml:space="preserve"> have been on the increase over the last three decades. A sociolinguistic survey in the 1970s showed that an overwhelming majority of Māori children were not raised as Māori speakers, apart from a few isolated rural communities </w:t>
      </w:r>
      <w:sdt>
        <w:sdtPr>
          <w:id w:val="1289780312"/>
          <w:citation/>
        </w:sdtPr>
        <w:sdtEndPr/>
        <w:sdtContent>
          <w:r w:rsidR="00EE1891">
            <w:fldChar w:fldCharType="begin"/>
          </w:r>
          <w:r w:rsidR="00EE1891">
            <w:instrText xml:space="preserve"> CITATION Ben91 \l 2057 </w:instrText>
          </w:r>
          <w:r w:rsidR="00EE1891">
            <w:fldChar w:fldCharType="separate"/>
          </w:r>
          <w:r w:rsidR="00EE1891" w:rsidRPr="00EE1891">
            <w:rPr>
              <w:noProof/>
            </w:rPr>
            <w:t>(</w:t>
          </w:r>
          <w:bookmarkStart w:id="265" w:name="Ben91_178"/>
          <w:r w:rsidR="00EE1891" w:rsidRPr="00EE1891">
            <w:rPr>
              <w:noProof/>
            </w:rPr>
            <w:t>Benton, 1991</w:t>
          </w:r>
          <w:r w:rsidR="00EE1891" w:rsidRPr="00EE1891">
            <w:rPr>
              <w:noProof/>
              <w:vertAlign w:val="subscript"/>
            </w:rPr>
            <w:t>[178]</w:t>
          </w:r>
          <w:r w:rsidR="00EE1891" w:rsidRPr="00EE1891">
            <w:rPr>
              <w:noProof/>
            </w:rPr>
            <w:t>)</w:t>
          </w:r>
          <w:bookmarkEnd w:id="265"/>
          <w:r w:rsidR="00EE1891">
            <w:fldChar w:fldCharType="end"/>
          </w:r>
        </w:sdtContent>
      </w:sdt>
      <w:r w:rsidRPr="00CB498E">
        <w:t xml:space="preserve">. In response, two types of Māori-medium education developed in the 1980s, kōhanga reo (language nest) and kura kaupapa Māori (Māori-language immersion school), and are known internationally as pathways for revitalising threatened languages. Māori has also been taught in universities and other tertiary settings, by </w:t>
      </w:r>
      <w:r w:rsidRPr="000B49B0">
        <w:rPr>
          <w:i/>
          <w:iCs/>
        </w:rPr>
        <w:t>iwi</w:t>
      </w:r>
      <w:r w:rsidRPr="00CB498E">
        <w:t xml:space="preserve"> 'Māori tribes' and other community organisations such as Te Ataarangi, which have also engaged in effective advocacy for Māori </w:t>
      </w:r>
      <w:sdt>
        <w:sdtPr>
          <w:id w:val="-1034577135"/>
          <w:citation/>
        </w:sdtPr>
        <w:sdtEndPr/>
        <w:sdtContent>
          <w:r w:rsidR="00E66F68">
            <w:fldChar w:fldCharType="begin"/>
          </w:r>
          <w:r w:rsidR="00E66F68">
            <w:instrText xml:space="preserve"> CITATION Kee171 \l 2057 </w:instrText>
          </w:r>
          <w:r w:rsidR="00E66F68">
            <w:fldChar w:fldCharType="separate"/>
          </w:r>
          <w:r w:rsidR="00E66F68" w:rsidRPr="00E66F68">
            <w:rPr>
              <w:noProof/>
            </w:rPr>
            <w:t>(</w:t>
          </w:r>
          <w:bookmarkStart w:id="266" w:name="Kee171_179"/>
          <w:r w:rsidR="00E66F68" w:rsidRPr="00E66F68">
            <w:rPr>
              <w:noProof/>
            </w:rPr>
            <w:t>Keegan, 2017</w:t>
          </w:r>
          <w:r w:rsidR="00E66F68" w:rsidRPr="00E66F68">
            <w:rPr>
              <w:noProof/>
              <w:vertAlign w:val="subscript"/>
            </w:rPr>
            <w:t>[179]</w:t>
          </w:r>
          <w:r w:rsidR="00E66F68" w:rsidRPr="00E66F68">
            <w:rPr>
              <w:noProof/>
            </w:rPr>
            <w:t>)</w:t>
          </w:r>
          <w:bookmarkEnd w:id="266"/>
          <w:r w:rsidR="00E66F68">
            <w:fldChar w:fldCharType="end"/>
          </w:r>
        </w:sdtContent>
      </w:sdt>
      <w:r w:rsidR="00E66F68">
        <w:t>.</w:t>
      </w:r>
    </w:p>
    <w:p w14:paraId="115F21D8" w14:textId="2CD1F948" w:rsidR="006145A3" w:rsidRDefault="006145A3" w:rsidP="006145A3">
      <w:pPr>
        <w:pStyle w:val="Para0"/>
      </w:pPr>
      <w:r w:rsidRPr="00B931E6">
        <w:t>Kōhanga Reo 'language nests' began in 1982 as a grassroots movement, to provide a total Māori language immersion programme for young children and their families. Now over 460 Kōhanga Reo operate with more than 9</w:t>
      </w:r>
      <w:r w:rsidR="00E66F68">
        <w:t> </w:t>
      </w:r>
      <w:r w:rsidRPr="00B931E6">
        <w:t>000 Māori pre-school children enrolled (Disbray et al., 2018)</w:t>
      </w:r>
      <w:r w:rsidRPr="007F5B2F">
        <w:t>.</w:t>
      </w:r>
    </w:p>
    <w:tbl>
      <w:tblPr>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C90551" w:rsidRPr="00E2226B" w14:paraId="6672A809" w14:textId="77777777" w:rsidTr="00954260">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0379B94B" w14:textId="36D51CA4" w:rsidR="00C90551" w:rsidRDefault="00C90551" w:rsidP="00FF04DE">
            <w:pPr>
              <w:pStyle w:val="Caption"/>
              <w:keepNext w:val="0"/>
            </w:pPr>
            <w:r w:rsidRPr="00B44A50">
              <w:t>Box</w:t>
            </w:r>
            <w:r>
              <w:t> </w:t>
            </w:r>
            <w:r>
              <w:rPr>
                <w:noProof/>
              </w:rPr>
              <w:fldChar w:fldCharType="begin"/>
            </w:r>
            <w:r>
              <w:rPr>
                <w:noProof/>
              </w:rPr>
              <w:instrText xml:space="preserve"> STYLEREF 1 \s </w:instrText>
            </w:r>
            <w:r>
              <w:rPr>
                <w:noProof/>
              </w:rPr>
              <w:fldChar w:fldCharType="separate"/>
            </w:r>
            <w:r w:rsidR="00CA5B8D">
              <w:rPr>
                <w:noProof/>
              </w:rPr>
              <w:t>7</w:t>
            </w:r>
            <w:r>
              <w:rPr>
                <w:noProof/>
              </w:rPr>
              <w:fldChar w:fldCharType="end"/>
            </w:r>
            <w:r>
              <w:t>.</w:t>
            </w:r>
            <w:r>
              <w:rPr>
                <w:noProof/>
              </w:rPr>
              <w:fldChar w:fldCharType="begin"/>
            </w:r>
            <w:r>
              <w:rPr>
                <w:noProof/>
              </w:rPr>
              <w:instrText xml:space="preserve"> SEQ Box \* ARABIC \s 1 </w:instrText>
            </w:r>
            <w:r>
              <w:rPr>
                <w:noProof/>
              </w:rPr>
              <w:fldChar w:fldCharType="separate"/>
            </w:r>
            <w:r w:rsidR="00CA5B8D">
              <w:rPr>
                <w:noProof/>
              </w:rPr>
              <w:t>2</w:t>
            </w:r>
            <w:r>
              <w:rPr>
                <w:noProof/>
              </w:rPr>
              <w:fldChar w:fldCharType="end"/>
            </w:r>
            <w:r>
              <w:t xml:space="preserve">. </w:t>
            </w:r>
            <w:r w:rsidRPr="00C90551">
              <w:rPr>
                <w:i/>
              </w:rPr>
              <w:t>Te Kōhanga Reo</w:t>
            </w:r>
            <w:r w:rsidRPr="00C90551">
              <w:t>: Language Nests, Aotearoa New Zealand</w:t>
            </w:r>
          </w:p>
          <w:p w14:paraId="5283FF28" w14:textId="39B57F4A" w:rsidR="00C90551" w:rsidRPr="00852D94" w:rsidRDefault="00C90551" w:rsidP="00455D6D">
            <w:pPr>
              <w:pStyle w:val="Para0"/>
            </w:pPr>
            <w:r w:rsidRPr="00852D94">
              <w:t xml:space="preserve">The Te Kōhanga Reo movement began in the early 1980s in Aotearoa New Zealand. At this time, Māori people were aware of, and seeking to address the break in intergenerational language and cultural knowledge and level of language shift that had occurred since colonisation. </w:t>
            </w:r>
            <w:r w:rsidRPr="00852D94">
              <w:rPr>
                <w:i/>
              </w:rPr>
              <w:t>W</w:t>
            </w:r>
            <w:r w:rsidRPr="00852D94">
              <w:rPr>
                <w:i/>
                <w:lang w:val="en-AU"/>
              </w:rPr>
              <w:t>hānau</w:t>
            </w:r>
            <w:r w:rsidRPr="00852D94">
              <w:t xml:space="preserve"> (family, extended kin) governance groups formed to establish language and culture immersion programmes in their kindergartens, play-centres and other early childhood settings across New Zealand. The staff were whānau; Māori speaking adults as language models, beside child care workers. In 1983 an overarching governance body Te Kōhanga Reo was formalised as a national charitable trust </w:t>
            </w:r>
            <w:r w:rsidRPr="00455D6D">
              <w:t>(</w:t>
            </w:r>
            <w:hyperlink r:id="rId29" w:history="1">
              <w:r w:rsidRPr="00455D6D">
                <w:t>https://www.kohanga.ac.nz/</w:t>
              </w:r>
            </w:hyperlink>
            <w:r w:rsidRPr="00455D6D">
              <w:t>).</w:t>
            </w:r>
            <w:r w:rsidRPr="00852D94">
              <w:t xml:space="preserve"> This body administers government funding and remains committed to further developing language learning and the advancement of Māori cultural transmission through the individual programmes Te Kōhanga Reo National Trust (2020). </w:t>
            </w:r>
          </w:p>
          <w:p w14:paraId="2CE07DD8" w14:textId="02C23425" w:rsidR="00C90551" w:rsidRPr="00852D94" w:rsidRDefault="00C90551" w:rsidP="00FF04DE">
            <w:pPr>
              <w:pStyle w:val="Para0"/>
            </w:pPr>
            <w:r w:rsidRPr="00852D94">
              <w:t>Programme</w:t>
            </w:r>
            <w:r>
              <w:t xml:space="preserve"> </w:t>
            </w:r>
            <w:r w:rsidRPr="00852D94">
              <w:t>numbers increas</w:t>
            </w:r>
            <w:r w:rsidR="00455D6D">
              <w:t>ed rapidly, with over 500 </w:t>
            </w:r>
            <w:r w:rsidRPr="00852D94">
              <w:t xml:space="preserve">programmes operating in the late 1980s, peaking at 767 in 1996 </w:t>
            </w:r>
            <w:sdt>
              <w:sdtPr>
                <w:id w:val="-245341587"/>
                <w:citation/>
              </w:sdtPr>
              <w:sdtEndPr/>
              <w:sdtContent>
                <w:r w:rsidR="00455D6D">
                  <w:fldChar w:fldCharType="begin"/>
                </w:r>
                <w:r w:rsidR="00455D6D">
                  <w:instrText xml:space="preserve"> CITATION Kin01 \l 2057 </w:instrText>
                </w:r>
                <w:r w:rsidR="00455D6D">
                  <w:fldChar w:fldCharType="separate"/>
                </w:r>
                <w:r w:rsidR="00455D6D" w:rsidRPr="00455D6D">
                  <w:rPr>
                    <w:noProof/>
                  </w:rPr>
                  <w:t>(</w:t>
                </w:r>
                <w:bookmarkStart w:id="267" w:name="Kin01_180"/>
                <w:r w:rsidR="00455D6D" w:rsidRPr="00455D6D">
                  <w:rPr>
                    <w:noProof/>
                  </w:rPr>
                  <w:t>King, 2001</w:t>
                </w:r>
                <w:r w:rsidR="00455D6D" w:rsidRPr="00455D6D">
                  <w:rPr>
                    <w:noProof/>
                    <w:vertAlign w:val="subscript"/>
                  </w:rPr>
                  <w:t>[180]</w:t>
                </w:r>
                <w:r w:rsidR="00455D6D" w:rsidRPr="00455D6D">
                  <w:rPr>
                    <w:noProof/>
                  </w:rPr>
                  <w:t>)</w:t>
                </w:r>
                <w:bookmarkEnd w:id="267"/>
                <w:r w:rsidR="00455D6D">
                  <w:fldChar w:fldCharType="end"/>
                </w:r>
              </w:sdtContent>
            </w:sdt>
            <w:r w:rsidRPr="00852D94">
              <w:t xml:space="preserve">. During these expansion </w:t>
            </w:r>
            <w:r w:rsidRPr="00C90551">
              <w:t>and</w:t>
            </w:r>
            <w:r w:rsidRPr="00852D94">
              <w:t xml:space="preserve"> consolidation phases, Te Kōhanga Reo was a driver for the extension of Māori</w:t>
            </w:r>
            <w:r>
              <w:t xml:space="preserve"> </w:t>
            </w:r>
            <w:r w:rsidRPr="00852D94">
              <w:t xml:space="preserve">medium and Māori </w:t>
            </w:r>
            <w:r w:rsidRPr="00852D94">
              <w:rPr>
                <w:i/>
              </w:rPr>
              <w:t>kaupapa</w:t>
            </w:r>
            <w:r w:rsidRPr="00852D94">
              <w:t xml:space="preserve"> (philosophy) schooling, building the broader movement for Māori education at all levels. Over the last fifteen years the number of programm</w:t>
            </w:r>
            <w:r w:rsidR="00455D6D">
              <w:t>es has steadily dropped, to 470 </w:t>
            </w:r>
            <w:r w:rsidRPr="00852D94">
              <w:t xml:space="preserve">programmes today (Te Kōhanga Reo National Trust, 2020). </w:t>
            </w:r>
          </w:p>
          <w:p w14:paraId="3B48A461" w14:textId="2E040500" w:rsidR="00C90551" w:rsidRDefault="00C90551" w:rsidP="00FF04DE">
            <w:pPr>
              <w:pStyle w:val="Para0"/>
            </w:pPr>
            <w:r w:rsidRPr="00852D94">
              <w:t>Individual programmes, which cater for mixed aged groups from birth to 6 years, share the goal of affirming and passing on the Māori language, culture and customs. Māori customs include such aspects as:</w:t>
            </w:r>
          </w:p>
          <w:p w14:paraId="00E93DB5" w14:textId="0D1A6BBC" w:rsidR="00C90551" w:rsidRPr="00852D94" w:rsidRDefault="00C90551" w:rsidP="00FF04DE">
            <w:pPr>
              <w:pStyle w:val="BulletedList"/>
            </w:pPr>
            <w:r w:rsidRPr="00852D94">
              <w:rPr>
                <w:bCs/>
              </w:rPr>
              <w:t>whakapapa</w:t>
            </w:r>
            <w:r w:rsidRPr="00852D94">
              <w:t xml:space="preserve">: </w:t>
            </w:r>
            <w:r w:rsidR="00455D6D">
              <w:t>“</w:t>
            </w:r>
            <w:r w:rsidRPr="00C90551">
              <w:t>genealogy</w:t>
            </w:r>
            <w:r w:rsidR="00455D6D">
              <w:t>”</w:t>
            </w:r>
            <w:r w:rsidRPr="00C90551">
              <w:t xml:space="preserve"> forms an </w:t>
            </w:r>
            <w:r w:rsidR="00455D6D">
              <w:t>important part of mihi (formalis</w:t>
            </w:r>
            <w:r w:rsidRPr="00C90551">
              <w:t>ed greetings), in which the child learns the importance of their tribal connections;</w:t>
            </w:r>
          </w:p>
          <w:p w14:paraId="0EF0F6D7" w14:textId="3637A21F" w:rsidR="00C90551" w:rsidRPr="00C90551" w:rsidRDefault="00C90551" w:rsidP="00FF04DE">
            <w:pPr>
              <w:pStyle w:val="BulletedList"/>
            </w:pPr>
            <w:r w:rsidRPr="00852D94">
              <w:rPr>
                <w:bCs/>
              </w:rPr>
              <w:t>whanaungatanga</w:t>
            </w:r>
            <w:r w:rsidRPr="00852D94">
              <w:t xml:space="preserve">: </w:t>
            </w:r>
            <w:r w:rsidR="00455D6D">
              <w:t>“</w:t>
            </w:r>
            <w:r w:rsidRPr="00C90551">
              <w:t>group relationships and support</w:t>
            </w:r>
            <w:r w:rsidR="00455D6D">
              <w:t>”</w:t>
            </w:r>
            <w:r w:rsidRPr="00C90551">
              <w:t xml:space="preserve"> manifests itself in group responsibility for learning and working together;</w:t>
            </w:r>
          </w:p>
          <w:p w14:paraId="4D3A3E6B" w14:textId="214C44FD" w:rsidR="00C90551" w:rsidRPr="00A00EF4" w:rsidRDefault="00C90551" w:rsidP="00FF04DE">
            <w:pPr>
              <w:pStyle w:val="BulletedList"/>
            </w:pPr>
            <w:r w:rsidRPr="00852D94">
              <w:rPr>
                <w:bCs/>
              </w:rPr>
              <w:lastRenderedPageBreak/>
              <w:t>tuakana teina</w:t>
            </w:r>
            <w:r w:rsidRPr="00852D94">
              <w:rPr>
                <w:rStyle w:val="QuoteChar"/>
                <w:rFonts w:ascii="Times New Roman" w:hAnsi="Times New Roman" w:cs="Times New Roman"/>
                <w:i w:val="0"/>
                <w:iCs w:val="0"/>
              </w:rPr>
              <w:t xml:space="preserve">: </w:t>
            </w:r>
            <w:r w:rsidR="00455D6D">
              <w:t>“</w:t>
            </w:r>
            <w:r w:rsidRPr="00C90551">
              <w:t>the role of older to younger</w:t>
            </w:r>
            <w:r w:rsidR="00455D6D">
              <w:t>”</w:t>
            </w:r>
            <w:r w:rsidRPr="00C90551">
              <w:t xml:space="preserve"> is expressed through leadership roles being given to older children with concurrent responsibilities toward the needs of those who are younger </w:t>
            </w:r>
            <w:sdt>
              <w:sdtPr>
                <w:id w:val="2109159213"/>
                <w:citation/>
              </w:sdtPr>
              <w:sdtEndPr/>
              <w:sdtContent>
                <w:r w:rsidR="00455D6D">
                  <w:fldChar w:fldCharType="begin"/>
                </w:r>
                <w:r w:rsidR="00455D6D">
                  <w:instrText xml:space="preserve"> CITATION Kin01 \l 2057 </w:instrText>
                </w:r>
                <w:r w:rsidR="00455D6D">
                  <w:fldChar w:fldCharType="separate"/>
                </w:r>
                <w:r w:rsidR="00455D6D" w:rsidRPr="00455D6D">
                  <w:rPr>
                    <w:noProof/>
                  </w:rPr>
                  <w:t>(King, 2001</w:t>
                </w:r>
                <w:r w:rsidR="00455D6D" w:rsidRPr="00455D6D">
                  <w:rPr>
                    <w:noProof/>
                    <w:vertAlign w:val="subscript"/>
                  </w:rPr>
                  <w:t>[180]</w:t>
                </w:r>
                <w:r w:rsidR="00455D6D" w:rsidRPr="00455D6D">
                  <w:rPr>
                    <w:noProof/>
                  </w:rPr>
                  <w:t>)</w:t>
                </w:r>
                <w:r w:rsidR="00455D6D">
                  <w:fldChar w:fldCharType="end"/>
                </w:r>
              </w:sdtContent>
            </w:sdt>
            <w:r w:rsidRPr="00C90551">
              <w:t>.</w:t>
            </w:r>
          </w:p>
          <w:p w14:paraId="556D5B7A" w14:textId="61CC6378" w:rsidR="00C90551" w:rsidRPr="00C90551" w:rsidRDefault="00C90551" w:rsidP="00FF04DE">
            <w:pPr>
              <w:pStyle w:val="Para0"/>
            </w:pPr>
            <w:r w:rsidRPr="00C90551">
              <w:t xml:space="preserve">These learnings are incorporated into a National Early Childhood Curriculum Te Whāriki Aotearoa in 1996, updated in 2017 </w:t>
            </w:r>
            <w:sdt>
              <w:sdtPr>
                <w:id w:val="941963343"/>
                <w:citation/>
              </w:sdtPr>
              <w:sdtEndPr/>
              <w:sdtContent>
                <w:r w:rsidR="00455D6D">
                  <w:fldChar w:fldCharType="begin"/>
                </w:r>
                <w:r w:rsidR="00455D6D">
                  <w:instrText xml:space="preserve"> CITATION Gun19 \l 2057 </w:instrText>
                </w:r>
                <w:r w:rsidR="00455D6D">
                  <w:fldChar w:fldCharType="separate"/>
                </w:r>
                <w:r w:rsidR="00455D6D" w:rsidRPr="00455D6D">
                  <w:rPr>
                    <w:noProof/>
                  </w:rPr>
                  <w:t>(</w:t>
                </w:r>
                <w:bookmarkStart w:id="268" w:name="Gun19_181"/>
                <w:r w:rsidR="00455D6D" w:rsidRPr="00455D6D">
                  <w:rPr>
                    <w:noProof/>
                  </w:rPr>
                  <w:t>Gunn and Nuttall, 2019</w:t>
                </w:r>
                <w:r w:rsidR="00455D6D" w:rsidRPr="00455D6D">
                  <w:rPr>
                    <w:noProof/>
                    <w:vertAlign w:val="subscript"/>
                  </w:rPr>
                  <w:t>[181]</w:t>
                </w:r>
                <w:r w:rsidR="00455D6D" w:rsidRPr="00455D6D">
                  <w:rPr>
                    <w:noProof/>
                  </w:rPr>
                  <w:t>)</w:t>
                </w:r>
                <w:bookmarkEnd w:id="268"/>
                <w:r w:rsidR="00455D6D">
                  <w:fldChar w:fldCharType="end"/>
                </w:r>
              </w:sdtContent>
            </w:sdt>
            <w:r w:rsidRPr="00C90551">
              <w:t xml:space="preserve">. </w:t>
            </w:r>
          </w:p>
          <w:p w14:paraId="5F5B4B3C" w14:textId="77777777" w:rsidR="00C90551" w:rsidRPr="00C90551" w:rsidRDefault="00C90551" w:rsidP="00FF04DE">
            <w:pPr>
              <w:pStyle w:val="Para0"/>
            </w:pPr>
            <w:r w:rsidRPr="00C90551">
              <w:t>A challenge faced in the initial stages of the programme was the need for stronger language skills among younger, qualified childcare workers, rather than reliance on language speaking elders as language models. In response, Te Kōhanga Reo National Trust established training centres and the 'Blue Book' language and cultural training syllabus.</w:t>
            </w:r>
          </w:p>
          <w:p w14:paraId="74EA9568" w14:textId="2494DB20" w:rsidR="00C90551" w:rsidRPr="00775FF9" w:rsidRDefault="00455D6D" w:rsidP="00455D6D">
            <w:pPr>
              <w:pStyle w:val="Para0"/>
            </w:pPr>
            <w:r>
              <w:t>Māori Te Kōhanga Reo or “</w:t>
            </w:r>
            <w:r w:rsidR="00C90551" w:rsidRPr="00C90551">
              <w:t>Language Nests</w:t>
            </w:r>
            <w:r>
              <w:t>”</w:t>
            </w:r>
            <w:r w:rsidR="00C90551" w:rsidRPr="00C90551">
              <w:t xml:space="preserve"> have become the blueprint for language and cultural revitalisation </w:t>
            </w:r>
            <w:sdt>
              <w:sdtPr>
                <w:id w:val="1398396976"/>
                <w:citation/>
              </w:sdtPr>
              <w:sdtEndPr/>
              <w:sdtContent>
                <w:r>
                  <w:fldChar w:fldCharType="begin"/>
                </w:r>
                <w:r>
                  <w:instrText xml:space="preserve"> CITATION McI091 \l 2057 </w:instrText>
                </w:r>
                <w:r>
                  <w:fldChar w:fldCharType="separate"/>
                </w:r>
                <w:r w:rsidRPr="00455D6D">
                  <w:rPr>
                    <w:noProof/>
                  </w:rPr>
                  <w:t>(</w:t>
                </w:r>
                <w:bookmarkStart w:id="269" w:name="McI091_182"/>
                <w:r w:rsidRPr="00455D6D">
                  <w:rPr>
                    <w:noProof/>
                  </w:rPr>
                  <w:t>McIvor, Napoleon and Dickie, 2009</w:t>
                </w:r>
                <w:r w:rsidRPr="00455D6D">
                  <w:rPr>
                    <w:noProof/>
                    <w:vertAlign w:val="subscript"/>
                  </w:rPr>
                  <w:t>[182]</w:t>
                </w:r>
                <w:r w:rsidRPr="00455D6D">
                  <w:rPr>
                    <w:noProof/>
                  </w:rPr>
                  <w:t>)</w:t>
                </w:r>
                <w:bookmarkEnd w:id="269"/>
                <w:r>
                  <w:fldChar w:fldCharType="end"/>
                </w:r>
              </w:sdtContent>
            </w:sdt>
            <w:r w:rsidR="00C90551" w:rsidRPr="00C90551">
              <w:t xml:space="preserve">. They informed and inspired strategies for language revitalisation and community based culturally responsive early childhood education </w:t>
            </w:r>
            <w:r w:rsidRPr="00C90551">
              <w:t>worldwide</w:t>
            </w:r>
            <w:r w:rsidR="00C90551" w:rsidRPr="00C90551">
              <w:t>. Language nests have now been adopted and adapted by many others: Samoans in the Pacific Islands, Mohawk peoples in Kahnawà:ke in Canada, the Seneca in the United</w:t>
            </w:r>
            <w:r>
              <w:t> </w:t>
            </w:r>
            <w:r w:rsidR="00C90551" w:rsidRPr="00C90551">
              <w:t xml:space="preserve">States, the Sámi in Norway and Finland, by Irish Gaelic, Welsh, Scottish Gaelic communities </w:t>
            </w:r>
            <w:sdt>
              <w:sdtPr>
                <w:id w:val="-1981758026"/>
                <w:citation/>
              </w:sdtPr>
              <w:sdtEndPr/>
              <w:sdtContent>
                <w:r>
                  <w:fldChar w:fldCharType="begin"/>
                </w:r>
                <w:r>
                  <w:instrText xml:space="preserve"> CITATION Cha15 \l 2057 </w:instrText>
                </w:r>
                <w:r>
                  <w:fldChar w:fldCharType="separate"/>
                </w:r>
                <w:r w:rsidRPr="00455D6D">
                  <w:rPr>
                    <w:noProof/>
                  </w:rPr>
                  <w:t>(</w:t>
                </w:r>
                <w:bookmarkStart w:id="270" w:name="Cha15_183"/>
                <w:r w:rsidRPr="00455D6D">
                  <w:rPr>
                    <w:noProof/>
                  </w:rPr>
                  <w:t>Chambers, 2015</w:t>
                </w:r>
                <w:r w:rsidRPr="00455D6D">
                  <w:rPr>
                    <w:noProof/>
                    <w:vertAlign w:val="subscript"/>
                  </w:rPr>
                  <w:t>[183]</w:t>
                </w:r>
                <w:r w:rsidRPr="00455D6D">
                  <w:rPr>
                    <w:noProof/>
                  </w:rPr>
                  <w:t>)</w:t>
                </w:r>
                <w:bookmarkEnd w:id="270"/>
                <w:r>
                  <w:fldChar w:fldCharType="end"/>
                </w:r>
              </w:sdtContent>
            </w:sdt>
            <w:r w:rsidR="00C90551" w:rsidRPr="00C90551">
              <w:t>, and recently in several communities in Australia.</w:t>
            </w:r>
          </w:p>
        </w:tc>
      </w:tr>
    </w:tbl>
    <w:p w14:paraId="7C5C67D8" w14:textId="301A3120" w:rsidR="006145A3" w:rsidRDefault="006145A3" w:rsidP="006145A3">
      <w:pPr>
        <w:pStyle w:val="Para0"/>
      </w:pPr>
      <w:r>
        <w:lastRenderedPageBreak/>
        <w:t>As at 1 July 2</w:t>
      </w:r>
      <w:r w:rsidR="00FF04DE">
        <w:t>019, there were 21 </w:t>
      </w:r>
      <w:r>
        <w:t>489 students enrolled in Māori-medium education, representing 2.6% of the total school population, a 0.1</w:t>
      </w:r>
      <w:r w:rsidR="00455D6D">
        <w:t> </w:t>
      </w:r>
      <w:r>
        <w:t>percentage point increase on 2018. Of these students, 96.7% identified as Māori.</w:t>
      </w:r>
    </w:p>
    <w:p w14:paraId="600044B6" w14:textId="23A50A8D" w:rsidR="006145A3" w:rsidRPr="0066041B" w:rsidRDefault="006145A3" w:rsidP="006145A3">
      <w:pPr>
        <w:pStyle w:val="Para0"/>
      </w:pPr>
      <w:r w:rsidRPr="0066041B">
        <w:t>In the senior school</w:t>
      </w:r>
      <w:r w:rsidR="00455D6D">
        <w:t xml:space="preserve"> system of Aotearoa New </w:t>
      </w:r>
      <w:r w:rsidRPr="0066041B">
        <w:t xml:space="preserve">Zealand, Māori language subjects provide a pathway into tertiary education. </w:t>
      </w:r>
    </w:p>
    <w:p w14:paraId="0558EFFC" w14:textId="0408FCAE" w:rsidR="006145A3" w:rsidRPr="0066041B" w:rsidRDefault="006145A3" w:rsidP="006145A3">
      <w:pPr>
        <w:pStyle w:val="Para0"/>
      </w:pPr>
      <w:r w:rsidRPr="0066041B">
        <w:t xml:space="preserve">Two Māori language subjects are part of the suite of subjects assessed for Scholarship awards, </w:t>
      </w:r>
      <w:r w:rsidRPr="00A9006F">
        <w:rPr>
          <w:i/>
          <w:iCs/>
        </w:rPr>
        <w:t>te reo Māori</w:t>
      </w:r>
      <w:r w:rsidR="00591B9A">
        <w:t xml:space="preserve"> “</w:t>
      </w:r>
      <w:r w:rsidRPr="0066041B">
        <w:t>Māori language</w:t>
      </w:r>
      <w:r w:rsidR="00591B9A">
        <w:t>”</w:t>
      </w:r>
      <w:r w:rsidRPr="0066041B">
        <w:t xml:space="preserve"> and </w:t>
      </w:r>
      <w:r>
        <w:rPr>
          <w:i/>
          <w:iCs/>
        </w:rPr>
        <w:t>t</w:t>
      </w:r>
      <w:r w:rsidRPr="00A9006F">
        <w:rPr>
          <w:i/>
          <w:iCs/>
        </w:rPr>
        <w:t>e reo Rangatira</w:t>
      </w:r>
      <w:r w:rsidRPr="0066041B">
        <w:t xml:space="preserve"> </w:t>
      </w:r>
      <w:r w:rsidR="00455D6D">
        <w:t>“</w:t>
      </w:r>
      <w:r w:rsidRPr="0066041B">
        <w:t>Māori language history</w:t>
      </w:r>
      <w:r w:rsidR="00455D6D">
        <w:t>”</w:t>
      </w:r>
      <w:r w:rsidRPr="0066041B">
        <w:t xml:space="preserve">. </w:t>
      </w:r>
    </w:p>
    <w:p w14:paraId="3FFB3F4F" w14:textId="7654D3F3" w:rsidR="006145A3" w:rsidRPr="0042139F" w:rsidRDefault="006145A3" w:rsidP="006145A3">
      <w:pPr>
        <w:pStyle w:val="Quote"/>
      </w:pPr>
      <w:r w:rsidRPr="0042139F">
        <w:t>Scholarship is aimed at high-performing students, and requires them to demonstrate high-level critical thinking. In general, Scholarship is tested by ex</w:t>
      </w:r>
      <w:r w:rsidR="00455D6D">
        <w:t>amination, and is offered in 35 </w:t>
      </w:r>
      <w:r w:rsidRPr="0042139F">
        <w:t>subjects. Successful students receive a monetary award that reduces their tuition costs at any New Zealand tertiary institutions</w:t>
      </w:r>
    </w:p>
    <w:p w14:paraId="24B88C59" w14:textId="4BF5D4BB" w:rsidR="00DC1469" w:rsidRDefault="008D0BBE" w:rsidP="006145A3">
      <w:pPr>
        <w:pStyle w:val="Quote"/>
      </w:pPr>
      <w:sdt>
        <w:sdtPr>
          <w:id w:val="218559575"/>
          <w:citation/>
        </w:sdtPr>
        <w:sdtEndPr/>
        <w:sdtContent>
          <w:r w:rsidR="002E7A8E">
            <w:fldChar w:fldCharType="begin"/>
          </w:r>
          <w:r w:rsidR="002E7A8E">
            <w:instrText xml:space="preserve"> CITATION New192 \l 2057 </w:instrText>
          </w:r>
          <w:r w:rsidR="002E7A8E">
            <w:fldChar w:fldCharType="separate"/>
          </w:r>
          <w:r w:rsidR="002E7A8E" w:rsidRPr="002E7A8E">
            <w:rPr>
              <w:noProof/>
            </w:rPr>
            <w:t>(</w:t>
          </w:r>
          <w:bookmarkStart w:id="271" w:name="New192_185"/>
          <w:r w:rsidR="002E7A8E" w:rsidRPr="002E7A8E">
            <w:rPr>
              <w:noProof/>
            </w:rPr>
            <w:t>New Zealand Qualifications Authority, 2019</w:t>
          </w:r>
          <w:r w:rsidR="002E7A8E" w:rsidRPr="002E7A8E">
            <w:rPr>
              <w:noProof/>
              <w:vertAlign w:val="subscript"/>
            </w:rPr>
            <w:t>[185]</w:t>
          </w:r>
          <w:r w:rsidR="002E7A8E" w:rsidRPr="002E7A8E">
            <w:rPr>
              <w:noProof/>
            </w:rPr>
            <w:t>)</w:t>
          </w:r>
          <w:bookmarkEnd w:id="271"/>
          <w:r w:rsidR="002E7A8E">
            <w:fldChar w:fldCharType="end"/>
          </w:r>
        </w:sdtContent>
      </w:sdt>
      <w:r w:rsidR="006145A3" w:rsidRPr="0042139F">
        <w:t xml:space="preserve"> </w:t>
      </w:r>
    </w:p>
    <w:p w14:paraId="30EEE32D" w14:textId="77777777" w:rsidR="00DC1469" w:rsidRDefault="00DC1469">
      <w:pPr>
        <w:widowControl/>
        <w:spacing w:after="200" w:line="276" w:lineRule="auto"/>
        <w:jc w:val="left"/>
        <w:rPr>
          <w:rFonts w:asciiTheme="majorHAnsi" w:hAnsiTheme="majorHAnsi"/>
          <w:i/>
          <w:iCs/>
          <w:color w:val="000000" w:themeColor="text1"/>
          <w:sz w:val="20"/>
        </w:rPr>
      </w:pPr>
      <w:r>
        <w:br w:type="page"/>
      </w:r>
    </w:p>
    <w:tbl>
      <w:tblPr>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1A3D4A" w:rsidRPr="00E2226B" w14:paraId="7A9B234B" w14:textId="77777777" w:rsidTr="00954260">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02A54CC3" w14:textId="463C255A" w:rsidR="001A3D4A" w:rsidRDefault="001A3D4A" w:rsidP="001A3D4A">
            <w:pPr>
              <w:pStyle w:val="Caption"/>
              <w:keepNext w:val="0"/>
            </w:pPr>
            <w:r w:rsidRPr="00B44A50">
              <w:lastRenderedPageBreak/>
              <w:t>Box</w:t>
            </w:r>
            <w:r>
              <w:t> </w:t>
            </w:r>
            <w:r>
              <w:rPr>
                <w:noProof/>
              </w:rPr>
              <w:fldChar w:fldCharType="begin"/>
            </w:r>
            <w:r>
              <w:rPr>
                <w:noProof/>
              </w:rPr>
              <w:instrText xml:space="preserve"> STYLEREF 1 \s </w:instrText>
            </w:r>
            <w:r>
              <w:rPr>
                <w:noProof/>
              </w:rPr>
              <w:fldChar w:fldCharType="separate"/>
            </w:r>
            <w:r w:rsidR="00CA5B8D">
              <w:rPr>
                <w:noProof/>
              </w:rPr>
              <w:t>7</w:t>
            </w:r>
            <w:r>
              <w:rPr>
                <w:noProof/>
              </w:rPr>
              <w:fldChar w:fldCharType="end"/>
            </w:r>
            <w:r>
              <w:t>.</w:t>
            </w:r>
            <w:r>
              <w:rPr>
                <w:noProof/>
              </w:rPr>
              <w:fldChar w:fldCharType="begin"/>
            </w:r>
            <w:r>
              <w:rPr>
                <w:noProof/>
              </w:rPr>
              <w:instrText xml:space="preserve"> SEQ Box \* ARABIC \s 1 </w:instrText>
            </w:r>
            <w:r>
              <w:rPr>
                <w:noProof/>
              </w:rPr>
              <w:fldChar w:fldCharType="separate"/>
            </w:r>
            <w:r w:rsidR="00CA5B8D">
              <w:rPr>
                <w:noProof/>
              </w:rPr>
              <w:t>3</w:t>
            </w:r>
            <w:r>
              <w:rPr>
                <w:noProof/>
              </w:rPr>
              <w:fldChar w:fldCharType="end"/>
            </w:r>
            <w:r>
              <w:t xml:space="preserve">. </w:t>
            </w:r>
            <w:r w:rsidRPr="001A3D4A">
              <w:t>Teaching a small Indigenous language: Immersion at Chief Atahm School in Secwepemc territory, British Columbia Canada</w:t>
            </w:r>
          </w:p>
          <w:p w14:paraId="46876E53" w14:textId="1F726084" w:rsidR="001A3D4A" w:rsidRDefault="001A3D4A" w:rsidP="001A3D4A">
            <w:pPr>
              <w:pStyle w:val="Para0"/>
              <w:widowControl w:val="0"/>
            </w:pPr>
            <w:r>
              <w:t xml:space="preserve">Secwepemctsin (also known as Shuswap) is the traditional language of Adams Lake territory and part of the Interior Salish language family. Very few speakers speak Secwepemctsin as their first language, but second language speaker numbers are growing. In 1987, when there were around 22 fluent speakers, a group of parents started a language nest which evolved first into a kindergarten programme and then in 1991 as the Chief Atahm School. Disbray et al (2018) provide their story as a case study. They write: </w:t>
            </w:r>
          </w:p>
          <w:p w14:paraId="54A045D6" w14:textId="4DC5AA7A" w:rsidR="001A3D4A" w:rsidRDefault="001A3D4A" w:rsidP="001A3D4A">
            <w:pPr>
              <w:pStyle w:val="Para0"/>
              <w:widowControl w:val="0"/>
            </w:pPr>
            <w:r>
              <w:t>"The language nest provides a three-day-a-week language immersion environment enabling infants and toddlers to learn the language. It also helps parents to bring the language back to their homes and daily lives. The immersion continues through to Grade 3, in all learning areas – arithmetic, science, arts and social studies courses. From Grade 4 to Grade 9, a dual language programme divides time between Secwepemctsin and English. By 2010, around 100 children had benefited from this programme, a reasonable proportion of the community. The school also offers evening and weekend classes for adults. The programme offered spans the generations – infants to adults. The staff offers annual summer retreats for language teachers and others interested in starting immersion programmes. Thompson Rivers University also strives to sustain and revive Secwepemctsin by offering students certification (Teacher Regulation Branch, a three-year programme) that enables them to learn and teach First Nations Language and Culture in public, private and First Nations schools."</w:t>
            </w:r>
          </w:p>
          <w:p w14:paraId="23A3FADC" w14:textId="77777777" w:rsidR="001A3D4A" w:rsidRDefault="001A3D4A" w:rsidP="001A3D4A">
            <w:pPr>
              <w:pStyle w:val="Para0"/>
              <w:widowControl w:val="0"/>
            </w:pPr>
            <w:r>
              <w:t xml:space="preserve">Most of the school staff are adult second language learners who have gained teaching degrees and high levels of proficiency sufficient to develop curriculum and teach all subjects in the Secwepemc language. </w:t>
            </w:r>
          </w:p>
          <w:p w14:paraId="418A8849" w14:textId="02E0FD2C" w:rsidR="001A3D4A" w:rsidRPr="00775FF9" w:rsidRDefault="001A3D4A" w:rsidP="001A3D4A">
            <w:pPr>
              <w:pStyle w:val="Sourcenotes"/>
            </w:pPr>
            <w:r>
              <w:t xml:space="preserve">Source: </w:t>
            </w:r>
            <w:sdt>
              <w:sdtPr>
                <w:id w:val="85120883"/>
                <w:citation/>
              </w:sdtPr>
              <w:sdtEndPr/>
              <w:sdtContent>
                <w:r>
                  <w:fldChar w:fldCharType="begin"/>
                </w:r>
                <w:r>
                  <w:instrText xml:space="preserve"> CITATION Chi20 \l 2057 </w:instrText>
                </w:r>
                <w:r>
                  <w:fldChar w:fldCharType="separate"/>
                </w:r>
                <w:r w:rsidRPr="001A3D4A">
                  <w:rPr>
                    <w:noProof/>
                  </w:rPr>
                  <w:t>(</w:t>
                </w:r>
                <w:bookmarkStart w:id="272" w:name="Chi20_186"/>
                <w:r w:rsidRPr="001A3D4A">
                  <w:rPr>
                    <w:noProof/>
                  </w:rPr>
                  <w:t>Chief Atahm School, 2020</w:t>
                </w:r>
                <w:r w:rsidRPr="001A3D4A">
                  <w:rPr>
                    <w:noProof/>
                    <w:vertAlign w:val="subscript"/>
                  </w:rPr>
                  <w:t>[186]</w:t>
                </w:r>
                <w:r w:rsidRPr="001A3D4A">
                  <w:rPr>
                    <w:noProof/>
                  </w:rPr>
                  <w:t>)</w:t>
                </w:r>
                <w:bookmarkEnd w:id="272"/>
                <w:r>
                  <w:fldChar w:fldCharType="end"/>
                </w:r>
              </w:sdtContent>
            </w:sdt>
            <w:r>
              <w:t xml:space="preserve">, </w:t>
            </w:r>
            <w:hyperlink r:id="rId30" w:history="1">
              <w:r w:rsidRPr="00E56070">
                <w:rPr>
                  <w:rStyle w:val="Hyperlink"/>
                </w:rPr>
                <w:t>http://www.chiefatahm.com/index.html</w:t>
              </w:r>
            </w:hyperlink>
            <w:r>
              <w:t xml:space="preserve"> (accessed on 4 October 2021)</w:t>
            </w:r>
          </w:p>
        </w:tc>
      </w:tr>
    </w:tbl>
    <w:p w14:paraId="0BBB051D" w14:textId="77777777" w:rsidR="006145A3" w:rsidRPr="009B2047" w:rsidRDefault="006145A3" w:rsidP="006145A3">
      <w:pPr>
        <w:pStyle w:val="Heading2"/>
        <w:numPr>
          <w:ilvl w:val="1"/>
          <w:numId w:val="22"/>
        </w:numPr>
      </w:pPr>
      <w:bookmarkStart w:id="273" w:name="_Toc82093580"/>
      <w:bookmarkStart w:id="274" w:name="_Toc95824116"/>
      <w:r>
        <w:t xml:space="preserve">Indigenous </w:t>
      </w:r>
      <w:r w:rsidRPr="0042139F">
        <w:t>knowledge</w:t>
      </w:r>
      <w:r>
        <w:t xml:space="preserve"> and cultures within Indigenous languages programmes</w:t>
      </w:r>
      <w:bookmarkEnd w:id="273"/>
      <w:bookmarkEnd w:id="274"/>
    </w:p>
    <w:p w14:paraId="20BFD1A0" w14:textId="77777777" w:rsidR="006145A3" w:rsidRPr="00DA6C5C" w:rsidRDefault="006145A3" w:rsidP="006145A3">
      <w:pPr>
        <w:pStyle w:val="Para0"/>
      </w:pPr>
      <w:r w:rsidRPr="00DA6C5C">
        <w:t xml:space="preserve">Across Indigenous language ecologies, Indigenous languages programmes all have in common a valued place for Indigenous knowledges and culture: </w:t>
      </w:r>
    </w:p>
    <w:p w14:paraId="79D9A16A" w14:textId="77777777" w:rsidR="006145A3" w:rsidRPr="0042139F" w:rsidRDefault="006145A3" w:rsidP="006145A3">
      <w:pPr>
        <w:pStyle w:val="BulletedList"/>
      </w:pPr>
      <w:r w:rsidRPr="0042139F">
        <w:t>Topics informed by local Indigenous knowledge and culture in the language curriculum are just as important and consistent a component of Indigenous language programmes for mother tongue/first language speakers as for additional/target language learners</w:t>
      </w:r>
    </w:p>
    <w:p w14:paraId="2D126BDA" w14:textId="77777777" w:rsidR="006145A3" w:rsidRPr="0042139F" w:rsidRDefault="006145A3" w:rsidP="006145A3">
      <w:pPr>
        <w:pStyle w:val="BulletedList"/>
      </w:pPr>
      <w:r w:rsidRPr="0042139F">
        <w:t>A focus on Indigenous knowledges and culture furthers Indigenous peoples' aspirations for cultural maintenance and/or revival across their diverse contexts</w:t>
      </w:r>
    </w:p>
    <w:p w14:paraId="36C045EA" w14:textId="3BB36C5E" w:rsidR="006145A3" w:rsidRPr="00DA6C5C" w:rsidRDefault="006145A3" w:rsidP="006145A3">
      <w:pPr>
        <w:pStyle w:val="Para0"/>
      </w:pPr>
      <w:r w:rsidRPr="00DA6C5C">
        <w:t>This prominence of Indigenous knowledges and culture sets Indigenous</w:t>
      </w:r>
      <w:r w:rsidRPr="00231325">
        <w:t xml:space="preserve"> languages programmes apart, somewhat, from typical foreign language programmes in schools where these elements are often not quite so central. </w:t>
      </w:r>
      <w:r w:rsidRPr="00DA6C5C">
        <w:t xml:space="preserve">Indigenous knowledge and cultural elements accompany the language focus in Indigenous languages programme design, usually </w:t>
      </w:r>
      <w:r w:rsidR="001A3D4A">
        <w:t>via a focussing mechanism like “strands”</w:t>
      </w:r>
      <w:r w:rsidRPr="00DA6C5C">
        <w:t xml:space="preserve"> or </w:t>
      </w:r>
      <w:r w:rsidR="001A3D4A">
        <w:t>“</w:t>
      </w:r>
      <w:r w:rsidRPr="00DA6C5C">
        <w:t>outc</w:t>
      </w:r>
      <w:r w:rsidR="001A3D4A">
        <w:t>omes”</w:t>
      </w:r>
      <w:r w:rsidRPr="00DA6C5C">
        <w:t xml:space="preserve">: </w:t>
      </w:r>
    </w:p>
    <w:p w14:paraId="0946F2EF" w14:textId="77777777" w:rsidR="006145A3" w:rsidRPr="0042139F" w:rsidRDefault="006145A3" w:rsidP="006145A3">
      <w:pPr>
        <w:pStyle w:val="BulletedList"/>
      </w:pPr>
      <w:r w:rsidRPr="0042139F">
        <w:t>the language focus consists of the organised, staged language components to be taught</w:t>
      </w:r>
    </w:p>
    <w:p w14:paraId="01E274E6" w14:textId="77777777" w:rsidR="006145A3" w:rsidRPr="0042139F" w:rsidRDefault="006145A3" w:rsidP="006145A3">
      <w:pPr>
        <w:pStyle w:val="BulletedList"/>
      </w:pPr>
      <w:r w:rsidRPr="0042139F">
        <w:t xml:space="preserve">an Indigenous knowledges and culture focus provides the subject matter to be taught (perhaps organised as valued topics or as separate Indigenous knowledge strands in the programme). </w:t>
      </w:r>
    </w:p>
    <w:p w14:paraId="67AB4643" w14:textId="77777777" w:rsidR="006145A3" w:rsidRDefault="006145A3" w:rsidP="006145A3">
      <w:pPr>
        <w:pStyle w:val="Para0"/>
      </w:pPr>
      <w:r w:rsidRPr="00DA6C5C">
        <w:lastRenderedPageBreak/>
        <w:t xml:space="preserve">A critical part of implementing any Indigenous language programme is the direction from the local Indigenous language community as to which elements of Indigenous knowledges and culture they wish to be addressed. </w:t>
      </w:r>
    </w:p>
    <w:p w14:paraId="30B366B6" w14:textId="723BB438" w:rsidR="006145A3" w:rsidRDefault="006145A3" w:rsidP="006145A3">
      <w:pPr>
        <w:pStyle w:val="Para0"/>
      </w:pPr>
      <w:r w:rsidRPr="00DA6C5C">
        <w:t xml:space="preserve">Bracknell's and Williams' </w:t>
      </w:r>
      <w:sdt>
        <w:sdtPr>
          <w:id w:val="1793782368"/>
          <w:citation/>
        </w:sdtPr>
        <w:sdtEndPr/>
        <w:sdtContent>
          <w:r w:rsidR="001A3D4A">
            <w:fldChar w:fldCharType="begin"/>
          </w:r>
          <w:r w:rsidR="001A3D4A">
            <w:instrText xml:space="preserve"> CITATION Bra171 \l 2057 </w:instrText>
          </w:r>
          <w:r w:rsidR="00BA3F3C">
            <w:instrText xml:space="preserve"> \m Wil111</w:instrText>
          </w:r>
          <w:r w:rsidR="001A3D4A">
            <w:fldChar w:fldCharType="separate"/>
          </w:r>
          <w:bookmarkStart w:id="275" w:name="Wil111_188"/>
          <w:r w:rsidR="00BA3F3C" w:rsidRPr="00BA3F3C">
            <w:rPr>
              <w:noProof/>
            </w:rPr>
            <w:t>(Bracknell, 2017</w:t>
          </w:r>
          <w:r w:rsidR="00BA3F3C" w:rsidRPr="00BA3F3C">
            <w:rPr>
              <w:noProof/>
              <w:vertAlign w:val="subscript"/>
            </w:rPr>
            <w:t>[187]</w:t>
          </w:r>
          <w:r w:rsidR="00BA3F3C" w:rsidRPr="00BA3F3C">
            <w:rPr>
              <w:noProof/>
            </w:rPr>
            <w:t>; Williams, 2011</w:t>
          </w:r>
          <w:r w:rsidR="00BA3F3C" w:rsidRPr="00BA3F3C">
            <w:rPr>
              <w:noProof/>
              <w:vertAlign w:val="subscript"/>
            </w:rPr>
            <w:t>[188]</w:t>
          </w:r>
          <w:r w:rsidR="00BA3F3C" w:rsidRPr="00BA3F3C">
            <w:rPr>
              <w:noProof/>
            </w:rPr>
            <w:t>)</w:t>
          </w:r>
          <w:bookmarkEnd w:id="275"/>
          <w:r w:rsidR="001A3D4A">
            <w:fldChar w:fldCharType="end"/>
          </w:r>
        </w:sdtContent>
      </w:sdt>
      <w:r>
        <w:t xml:space="preserve"> </w:t>
      </w:r>
      <w:r w:rsidRPr="00DA6C5C">
        <w:t xml:space="preserve">description of the elevated place of song in their cultures raises the matter of what is appropriate for inclusion in Indigenous languages programmes: Local Indigenous knowledge holders are the rightful decision makers. People from the local Indigenous language community entitled to speak on cultural matters are best placed to decide what is in and out of scope for the local Indigenous language programmes. They are able to judge on the basis of their law and family and community aspirations for children's cultural education. </w:t>
      </w:r>
    </w:p>
    <w:p w14:paraId="6D7833F3" w14:textId="77777777" w:rsidR="006145A3" w:rsidRPr="00DA6C5C" w:rsidRDefault="006145A3" w:rsidP="006145A3">
      <w:pPr>
        <w:pStyle w:val="Para0"/>
      </w:pPr>
      <w:r w:rsidRPr="006F4338">
        <w:t xml:space="preserve">With </w:t>
      </w:r>
      <w:r w:rsidRPr="00DA6C5C">
        <w:t xml:space="preserve">permission and participation of Indigenous knowledge holders, Indigenous knowledges enrich language programmes. This builds pride in and respect for Indigenous peoples and their cultures, and can play a part in transmitting this knowledge to young people. </w:t>
      </w:r>
    </w:p>
    <w:p w14:paraId="376DD755" w14:textId="730F5898" w:rsidR="006145A3" w:rsidRPr="00DA6C5C" w:rsidRDefault="006145A3" w:rsidP="006145A3">
      <w:pPr>
        <w:pStyle w:val="Para0"/>
      </w:pPr>
      <w:r w:rsidRPr="00DA6C5C">
        <w:t xml:space="preserve">An example of how Indigenous people might choose to share their knowledge is the cooperative research about weather and climate undertaken </w:t>
      </w:r>
      <w:r>
        <w:t>in Aotearoa New</w:t>
      </w:r>
      <w:r w:rsidR="00821AAC">
        <w:t> </w:t>
      </w:r>
      <w:r>
        <w:t xml:space="preserve">Zealand </w:t>
      </w:r>
      <w:r w:rsidRPr="00DA6C5C">
        <w:t xml:space="preserve">by the Māori </w:t>
      </w:r>
      <w:r>
        <w:t>iwi</w:t>
      </w:r>
      <w:r w:rsidRPr="00DA6C5C">
        <w:t xml:space="preserve"> Ngāti Pare (Coromandel) and Te Whānau a Apanui (Eastern Bay of Plenty)</w:t>
      </w:r>
      <w:r>
        <w:t>,</w:t>
      </w:r>
      <w:r w:rsidRPr="00DA6C5C">
        <w:t xml:space="preserve"> and the National Institute of Water and Atmospheric Research (NIWA). They shared their extensive knowledge of weather, climate and seasons regarding:</w:t>
      </w:r>
    </w:p>
    <w:p w14:paraId="0BEA9AA5" w14:textId="77777777" w:rsidR="006145A3" w:rsidRPr="0042139F" w:rsidRDefault="006145A3" w:rsidP="006145A3">
      <w:pPr>
        <w:pStyle w:val="BulletedList"/>
      </w:pPr>
      <w:r w:rsidRPr="0042139F">
        <w:t>naming and classifying detailed local weather and climate phenomena</w:t>
      </w:r>
    </w:p>
    <w:p w14:paraId="423B5959" w14:textId="77777777" w:rsidR="006145A3" w:rsidRPr="0042139F" w:rsidRDefault="006145A3" w:rsidP="006145A3">
      <w:pPr>
        <w:pStyle w:val="BulletedList"/>
      </w:pPr>
      <w:r w:rsidRPr="0042139F">
        <w:t>oral records of weather-based events and trends contained in traditional songs and stories</w:t>
      </w:r>
    </w:p>
    <w:p w14:paraId="79DF8804" w14:textId="77777777" w:rsidR="006145A3" w:rsidRPr="0042139F" w:rsidRDefault="006145A3" w:rsidP="006145A3">
      <w:pPr>
        <w:pStyle w:val="BulletedList"/>
      </w:pPr>
      <w:r w:rsidRPr="0042139F">
        <w:t xml:space="preserve">knowledge of how to use a variety of environmental indicators to predict weather and climate. </w:t>
      </w:r>
    </w:p>
    <w:p w14:paraId="0F71F5BF" w14:textId="379EE88F" w:rsidR="006145A3" w:rsidRPr="00DA6C5C" w:rsidRDefault="006145A3" w:rsidP="006145A3">
      <w:pPr>
        <w:pStyle w:val="Para0"/>
      </w:pPr>
      <w:r w:rsidRPr="00DA6C5C">
        <w:t xml:space="preserve">This work led, amongst other outputs </w:t>
      </w:r>
      <w:sdt>
        <w:sdtPr>
          <w:id w:val="2065745517"/>
          <w:citation/>
        </w:sdtPr>
        <w:sdtEndPr/>
        <w:sdtContent>
          <w:r w:rsidR="00821AAC">
            <w:fldChar w:fldCharType="begin"/>
          </w:r>
          <w:r w:rsidR="00821AAC">
            <w:instrText xml:space="preserve">CITATION Natnd \l 2057 </w:instrText>
          </w:r>
          <w:r w:rsidR="00821AAC">
            <w:fldChar w:fldCharType="separate"/>
          </w:r>
          <w:r w:rsidR="00821AAC" w:rsidRPr="00821AAC">
            <w:rPr>
              <w:noProof/>
            </w:rPr>
            <w:t>(</w:t>
          </w:r>
          <w:bookmarkStart w:id="276" w:name="Natnd_189"/>
          <w:r w:rsidR="00821AAC" w:rsidRPr="00821AAC">
            <w:rPr>
              <w:noProof/>
            </w:rPr>
            <w:t>National Institute of Water and Atmospheric Research (NIWA), n.d.</w:t>
          </w:r>
          <w:r w:rsidR="00821AAC" w:rsidRPr="00821AAC">
            <w:rPr>
              <w:noProof/>
              <w:vertAlign w:val="subscript"/>
            </w:rPr>
            <w:t>[189]</w:t>
          </w:r>
          <w:r w:rsidR="00821AAC" w:rsidRPr="00821AAC">
            <w:rPr>
              <w:noProof/>
            </w:rPr>
            <w:t>)</w:t>
          </w:r>
          <w:bookmarkEnd w:id="276"/>
          <w:r w:rsidR="00821AAC">
            <w:fldChar w:fldCharType="end"/>
          </w:r>
        </w:sdtContent>
      </w:sdt>
      <w:r w:rsidRPr="00DA6C5C">
        <w:t xml:space="preserve">, to the production of resources suited for incorporation in school language programmes of different kinds, such as: </w:t>
      </w:r>
    </w:p>
    <w:p w14:paraId="21ED5045" w14:textId="483DE936" w:rsidR="006145A3" w:rsidRPr="0042139F" w:rsidRDefault="006145A3" w:rsidP="006145A3">
      <w:pPr>
        <w:pStyle w:val="BulletedList"/>
      </w:pPr>
      <w:r w:rsidRPr="0042139F">
        <w:t xml:space="preserve">posters in Māori only for Māori-medium education (immersion) contexts </w:t>
      </w:r>
      <w:sdt>
        <w:sdtPr>
          <w:id w:val="115570735"/>
          <w:citation/>
        </w:sdtPr>
        <w:sdtEndPr/>
        <w:sdtContent>
          <w:r w:rsidR="00821AAC">
            <w:fldChar w:fldCharType="begin"/>
          </w:r>
          <w:r w:rsidR="00821AAC">
            <w:instrText xml:space="preserve">CITATION NIW17 \l 2057 </w:instrText>
          </w:r>
          <w:r w:rsidR="00821AAC">
            <w:fldChar w:fldCharType="separate"/>
          </w:r>
          <w:r w:rsidR="00821AAC" w:rsidRPr="00821AAC">
            <w:rPr>
              <w:noProof/>
            </w:rPr>
            <w:t>(National Institute of Water and Atmospheric Research (NIWA), 2007</w:t>
          </w:r>
          <w:r w:rsidR="00821AAC" w:rsidRPr="00821AAC">
            <w:rPr>
              <w:noProof/>
              <w:vertAlign w:val="subscript"/>
            </w:rPr>
            <w:t>[189]</w:t>
          </w:r>
          <w:r w:rsidR="00821AAC" w:rsidRPr="00821AAC">
            <w:rPr>
              <w:noProof/>
            </w:rPr>
            <w:t>)</w:t>
          </w:r>
          <w:r w:rsidR="00821AAC">
            <w:fldChar w:fldCharType="end"/>
          </w:r>
        </w:sdtContent>
      </w:sdt>
      <w:r w:rsidRPr="0042139F">
        <w:t xml:space="preserve">; </w:t>
      </w:r>
    </w:p>
    <w:p w14:paraId="282D1D2B" w14:textId="60A604D6" w:rsidR="006145A3" w:rsidRPr="0042139F" w:rsidRDefault="006145A3" w:rsidP="006145A3">
      <w:pPr>
        <w:pStyle w:val="BulletedList"/>
      </w:pPr>
      <w:r w:rsidRPr="0042139F">
        <w:t xml:space="preserve">Māori-English bilingual posters for English medium education settings </w:t>
      </w:r>
      <w:sdt>
        <w:sdtPr>
          <w:id w:val="-285732284"/>
          <w:citation/>
        </w:sdtPr>
        <w:sdtEndPr/>
        <w:sdtContent>
          <w:r w:rsidR="00821AAC">
            <w:fldChar w:fldCharType="begin"/>
          </w:r>
          <w:r w:rsidR="00821AAC">
            <w:instrText xml:space="preserve"> CITATION Nat06 \l 2057 </w:instrText>
          </w:r>
          <w:r w:rsidR="00821AAC">
            <w:fldChar w:fldCharType="separate"/>
          </w:r>
          <w:r w:rsidR="00821AAC" w:rsidRPr="00821AAC">
            <w:rPr>
              <w:noProof/>
            </w:rPr>
            <w:t>(</w:t>
          </w:r>
          <w:bookmarkStart w:id="277" w:name="Nat06_191"/>
          <w:r w:rsidR="00821AAC" w:rsidRPr="00821AAC">
            <w:rPr>
              <w:noProof/>
            </w:rPr>
            <w:t>National Institute of Water and Atmospheric Research (NIWA), 2006</w:t>
          </w:r>
          <w:r w:rsidR="00821AAC" w:rsidRPr="00821AAC">
            <w:rPr>
              <w:noProof/>
              <w:vertAlign w:val="subscript"/>
            </w:rPr>
            <w:t>[191]</w:t>
          </w:r>
          <w:r w:rsidR="00821AAC" w:rsidRPr="00821AAC">
            <w:rPr>
              <w:noProof/>
            </w:rPr>
            <w:t>)</w:t>
          </w:r>
          <w:bookmarkEnd w:id="277"/>
          <w:r w:rsidR="00821AAC">
            <w:fldChar w:fldCharType="end"/>
          </w:r>
        </w:sdtContent>
      </w:sdt>
      <w:r w:rsidR="00821AAC">
        <w:t>.</w:t>
      </w:r>
    </w:p>
    <w:p w14:paraId="65C4B3A4" w14:textId="68A2647D" w:rsidR="006145A3" w:rsidRPr="00DA6C5C" w:rsidRDefault="006145A3" w:rsidP="006145A3">
      <w:pPr>
        <w:pStyle w:val="Para0"/>
      </w:pPr>
      <w:r w:rsidRPr="00DA6C5C">
        <w:t xml:space="preserve">In a school setting in the </w:t>
      </w:r>
      <w:r>
        <w:t>c</w:t>
      </w:r>
      <w:r w:rsidRPr="00DA6C5C">
        <w:t xml:space="preserve">entral Australian community of Ltyentye Apurte, Aboriginal children acquire the local traditional Indigenous language Arrernte as their mother tongue. Carmel Ryan, an Arrernte speaker and an Aboriginal teacher with </w:t>
      </w:r>
      <w:r w:rsidR="003D0ADD" w:rsidRPr="00DA6C5C">
        <w:t>long-term</w:t>
      </w:r>
      <w:r w:rsidRPr="00DA6C5C">
        <w:t xml:space="preserve"> experience teaching through her language, has found that 'bush trips' are highly productive for teaching traditional knowledge to students. This not only expands students' grasp of traditional knowledge, it also extends their use of their mother tongue for some of these specialised topics:</w:t>
      </w:r>
    </w:p>
    <w:p w14:paraId="462C7D2F" w14:textId="77777777" w:rsidR="006145A3" w:rsidRPr="0042139F" w:rsidRDefault="006145A3" w:rsidP="006145A3">
      <w:pPr>
        <w:pStyle w:val="Quote"/>
      </w:pPr>
      <w:r w:rsidRPr="0042139F">
        <w:t xml:space="preserve">Bush trips are best in the middle of the year. It's the best time for me to show them the country, and everything that is growing out in the bush. I teach about which </w:t>
      </w:r>
      <w:r w:rsidRPr="003D0ADD">
        <w:rPr>
          <w:i w:val="0"/>
        </w:rPr>
        <w:t>kere</w:t>
      </w:r>
      <w:r w:rsidRPr="0042139F">
        <w:t xml:space="preserve"> [meat food] and </w:t>
      </w:r>
      <w:r w:rsidRPr="003D0ADD">
        <w:rPr>
          <w:i w:val="0"/>
        </w:rPr>
        <w:t>merne</w:t>
      </w:r>
      <w:r w:rsidRPr="0042139F">
        <w:t xml:space="preserve"> [plant food] and bush medicine is in season. We talk a lot about [different parts of the country], the traditional owners, the stories for that country. … I am the main teacher, but if it's a long trip with camping, I do have supporters. Arrernte staff and non-Aboriginal staff all help organise everything, and they come along as well. At night, we teach about the universe, planets, stars, they all have names. We tell stories about the night sky, like the Seven Sisters story, that come from the Dreamtime. </w:t>
      </w:r>
    </w:p>
    <w:p w14:paraId="33CB4F6A" w14:textId="08EEDA6F" w:rsidR="006145A3" w:rsidRPr="0042139F" w:rsidRDefault="006145A3" w:rsidP="006145A3">
      <w:pPr>
        <w:pStyle w:val="Quote"/>
      </w:pPr>
      <w:r w:rsidRPr="0042139F">
        <w:t xml:space="preserve">Carmel Ryan, in Angelo and Poetsch </w:t>
      </w:r>
      <w:sdt>
        <w:sdtPr>
          <w:id w:val="-1255435887"/>
          <w:citation/>
        </w:sdtPr>
        <w:sdtEndPr/>
        <w:sdtContent>
          <w:r w:rsidR="003D0ADD">
            <w:fldChar w:fldCharType="begin"/>
          </w:r>
          <w:r w:rsidR="003D0ADD">
            <w:instrText xml:space="preserve">CITATION Ang191 \n  \l 2057 </w:instrText>
          </w:r>
          <w:r w:rsidR="003D0ADD">
            <w:fldChar w:fldCharType="separate"/>
          </w:r>
          <w:r w:rsidR="003D0ADD" w:rsidRPr="003D0ADD">
            <w:rPr>
              <w:noProof/>
            </w:rPr>
            <w:t>(2019</w:t>
          </w:r>
          <w:r w:rsidR="003D0ADD" w:rsidRPr="003D0ADD">
            <w:rPr>
              <w:noProof/>
              <w:vertAlign w:val="subscript"/>
            </w:rPr>
            <w:t>[44]</w:t>
          </w:r>
          <w:r w:rsidR="003D0ADD" w:rsidRPr="003D0ADD">
            <w:rPr>
              <w:noProof/>
            </w:rPr>
            <w:t>)</w:t>
          </w:r>
          <w:r w:rsidR="003D0ADD">
            <w:fldChar w:fldCharType="end"/>
          </w:r>
        </w:sdtContent>
      </w:sdt>
    </w:p>
    <w:p w14:paraId="19B25919" w14:textId="150837C8" w:rsidR="006145A3" w:rsidRPr="00DA6C5C" w:rsidRDefault="006145A3" w:rsidP="006145A3">
      <w:pPr>
        <w:pStyle w:val="Para0"/>
      </w:pPr>
      <w:r w:rsidRPr="006F4338">
        <w:t xml:space="preserve">The acclaimed </w:t>
      </w:r>
      <w:r w:rsidRPr="00DA6C5C">
        <w:t>Dene Kede K-6 Curriculum from the Canadian Northwest Territories provides an example of the core role that Indigenous knowledges and culture play in Indigenous language curricula. This curriculum has been developed for both mother tongue/first language speakers of Dene and learners of Dene as an additional/target lang</w:t>
      </w:r>
      <w:r w:rsidR="00CF0782">
        <w:t>uage and includes an extensive “land skills”</w:t>
      </w:r>
      <w:r w:rsidRPr="00DA6C5C">
        <w:t xml:space="preserve"> component. The rationale for this approach is explained here by Fibbie Tatti of the Sahtuotine First Nation, the coordinator for this </w:t>
      </w:r>
      <w:r w:rsidRPr="00DA6C5C">
        <w:lastRenderedPageBreak/>
        <w:t>curriculum project, who is an interpreter, media presenter and researcher in Indigenous language and education:</w:t>
      </w:r>
    </w:p>
    <w:p w14:paraId="6A10C169" w14:textId="13788CA4" w:rsidR="006145A3" w:rsidRPr="0042139F" w:rsidRDefault="006145A3" w:rsidP="006145A3">
      <w:pPr>
        <w:pStyle w:val="Quote"/>
      </w:pPr>
      <w:r w:rsidRPr="0042139F">
        <w:t>In times past, culture was understood to be simply the traditional knowledge and skills of the Dene people. It encompassed such skills as hunting caribou, tanning hides, and sewing slippers. In this curriculum such land skills are considered important to learn because they enable the student to become capable on the land while learning to enjoy, understand, respect and appreciate the land. Having such a relationship with the land ensures that the student will understand that it is life-giving and must therefore be protected and preserved. This is why we teach land sk</w:t>
      </w:r>
      <w:r w:rsidR="00CF0782">
        <w:t>ills, and this is the place of “culture”</w:t>
      </w:r>
      <w:r w:rsidRPr="0042139F">
        <w:t xml:space="preserve"> in the Dene Kede Curriculum.</w:t>
      </w:r>
    </w:p>
    <w:p w14:paraId="1FD8D53A" w14:textId="06ABA9C5" w:rsidR="006145A3" w:rsidRPr="0042139F" w:rsidRDefault="006145A3" w:rsidP="006145A3">
      <w:pPr>
        <w:pStyle w:val="Quote"/>
      </w:pPr>
      <w:r w:rsidRPr="0042139F">
        <w:t xml:space="preserve">Fibbie Tatti, in Northwest Territories Education Culture and Employment </w:t>
      </w:r>
      <w:sdt>
        <w:sdtPr>
          <w:id w:val="-269096378"/>
          <w:citation/>
        </w:sdtPr>
        <w:sdtEndPr/>
        <w:sdtContent>
          <w:r w:rsidR="00CF0782">
            <w:fldChar w:fldCharType="begin"/>
          </w:r>
          <w:r w:rsidR="004F4DC6">
            <w:instrText xml:space="preserve">CITATION Nor93 \n  \l 2057 </w:instrText>
          </w:r>
          <w:r w:rsidR="00CF0782">
            <w:fldChar w:fldCharType="separate"/>
          </w:r>
          <w:r w:rsidR="004F4DC6" w:rsidRPr="004F4DC6">
            <w:rPr>
              <w:noProof/>
            </w:rPr>
            <w:t>(1993</w:t>
          </w:r>
          <w:r w:rsidR="004F4DC6" w:rsidRPr="004F4DC6">
            <w:rPr>
              <w:noProof/>
              <w:vertAlign w:val="subscript"/>
            </w:rPr>
            <w:t>[192]</w:t>
          </w:r>
          <w:r w:rsidR="004F4DC6" w:rsidRPr="004F4DC6">
            <w:rPr>
              <w:noProof/>
            </w:rPr>
            <w:t>)</w:t>
          </w:r>
          <w:r w:rsidR="00CF0782">
            <w:fldChar w:fldCharType="end"/>
          </w:r>
        </w:sdtContent>
      </w:sdt>
      <w:r w:rsidRPr="0042139F">
        <w:t>.</w:t>
      </w:r>
    </w:p>
    <w:p w14:paraId="5C78E41E" w14:textId="327B5327" w:rsidR="006145A3" w:rsidRPr="00472C57" w:rsidRDefault="006145A3" w:rsidP="006145A3">
      <w:pPr>
        <w:pStyle w:val="Para0"/>
      </w:pPr>
      <w:r w:rsidRPr="00231325">
        <w:t xml:space="preserve">Tagai State College, the school of the </w:t>
      </w:r>
      <w:r w:rsidRPr="00472C57">
        <w:t xml:space="preserve">Torres Strait (the islands and sea between Australia and Papua New Guinea), incorporates dance in its </w:t>
      </w:r>
      <w:r w:rsidRPr="00472C57">
        <w:rPr>
          <w:i/>
          <w:iCs/>
        </w:rPr>
        <w:t>Yumi</w:t>
      </w:r>
      <w:r w:rsidRPr="00472C57">
        <w:t xml:space="preserve"> philosophy of education. The Torres Strait Art and Torres Strait Language and Culture curriculum </w:t>
      </w:r>
      <w:sdt>
        <w:sdtPr>
          <w:id w:val="591971429"/>
          <w:citation/>
        </w:sdtPr>
        <w:sdtEndPr/>
        <w:sdtContent>
          <w:r w:rsidR="004F4DC6">
            <w:fldChar w:fldCharType="begin"/>
          </w:r>
          <w:r w:rsidR="004F4DC6">
            <w:instrText xml:space="preserve"> CITATION Tag20 \l 2057 </w:instrText>
          </w:r>
          <w:r w:rsidR="004F4DC6">
            <w:fldChar w:fldCharType="separate"/>
          </w:r>
          <w:r w:rsidR="004F4DC6" w:rsidRPr="004F4DC6">
            <w:rPr>
              <w:noProof/>
            </w:rPr>
            <w:t>(</w:t>
          </w:r>
          <w:bookmarkStart w:id="278" w:name="Tag20_193"/>
          <w:r w:rsidR="004F4DC6" w:rsidRPr="004F4DC6">
            <w:rPr>
              <w:noProof/>
            </w:rPr>
            <w:t>Tagai State College, 2020</w:t>
          </w:r>
          <w:r w:rsidR="004F4DC6" w:rsidRPr="004F4DC6">
            <w:rPr>
              <w:noProof/>
              <w:vertAlign w:val="subscript"/>
            </w:rPr>
            <w:t>[193]</w:t>
          </w:r>
          <w:r w:rsidR="004F4DC6" w:rsidRPr="004F4DC6">
            <w:rPr>
              <w:noProof/>
            </w:rPr>
            <w:t>)</w:t>
          </w:r>
          <w:bookmarkEnd w:id="278"/>
          <w:r w:rsidR="004F4DC6">
            <w:fldChar w:fldCharType="end"/>
          </w:r>
        </w:sdtContent>
      </w:sdt>
      <w:r w:rsidRPr="00472C57">
        <w:t xml:space="preserve"> embeds </w:t>
      </w:r>
      <w:r w:rsidRPr="00472C57">
        <w:rPr>
          <w:i/>
          <w:iCs/>
        </w:rPr>
        <w:t>Yumi</w:t>
      </w:r>
      <w:r w:rsidRPr="00472C57">
        <w:t xml:space="preserve"> philosophy (meaning </w:t>
      </w:r>
      <w:r w:rsidR="004F4DC6">
        <w:t>“we inclusive” in Yumplatok, i.e. “our way”</w:t>
      </w:r>
      <w:r w:rsidRPr="00472C57">
        <w:t>) in all aspects. The Torres Strait Islander linguist and cultural activist, the late Ephraim Bani, likened the role of singing and dancing for the peoples of the Torres Strait to that of literature for European societies in order to convey its cultural significance:</w:t>
      </w:r>
    </w:p>
    <w:p w14:paraId="24D428C5" w14:textId="77777777" w:rsidR="006145A3" w:rsidRPr="0042139F" w:rsidRDefault="006145A3" w:rsidP="006145A3">
      <w:pPr>
        <w:pStyle w:val="Quote"/>
      </w:pPr>
      <w:r w:rsidRPr="0042139F">
        <w:t>The importance of dancing and songs in the Torres Strait Islands…[is not] mere entertainment…[but] is the most important aspect of Torres Strait lifestyle. The Torres Strait Islanders preserve and present their oral history through songs and dances; in other words, the songs and dances are Torres Strait literature material. Just like any written materials, which are usually illustrations, the dances act as illustrative material and, of course, the dancer himself is the storyteller.</w:t>
      </w:r>
    </w:p>
    <w:p w14:paraId="7A2CC72F" w14:textId="520F035D" w:rsidR="006145A3" w:rsidRPr="0042139F" w:rsidRDefault="006145A3" w:rsidP="006145A3">
      <w:pPr>
        <w:pStyle w:val="Quote"/>
      </w:pPr>
      <w:r w:rsidRPr="0042139F">
        <w:t>Bani</w:t>
      </w:r>
      <w:r w:rsidR="004F4DC6">
        <w:t xml:space="preserve"> </w:t>
      </w:r>
      <w:sdt>
        <w:sdtPr>
          <w:id w:val="1458913080"/>
          <w:citation/>
        </w:sdtPr>
        <w:sdtEndPr/>
        <w:sdtContent>
          <w:r w:rsidR="004F4DC6">
            <w:fldChar w:fldCharType="begin"/>
          </w:r>
          <w:r w:rsidR="004F4DC6">
            <w:instrText xml:space="preserve">CITATION Ban79 \n  \l 2057 </w:instrText>
          </w:r>
          <w:r w:rsidR="004F4DC6">
            <w:fldChar w:fldCharType="separate"/>
          </w:r>
          <w:r w:rsidR="004F4DC6" w:rsidRPr="004F4DC6">
            <w:rPr>
              <w:noProof/>
            </w:rPr>
            <w:t>(1979</w:t>
          </w:r>
          <w:r w:rsidR="004F4DC6" w:rsidRPr="004F4DC6">
            <w:rPr>
              <w:noProof/>
              <w:vertAlign w:val="subscript"/>
            </w:rPr>
            <w:t>[33]</w:t>
          </w:r>
          <w:r w:rsidR="004F4DC6" w:rsidRPr="004F4DC6">
            <w:rPr>
              <w:noProof/>
            </w:rPr>
            <w:t>)</w:t>
          </w:r>
          <w:r w:rsidR="004F4DC6">
            <w:fldChar w:fldCharType="end"/>
          </w:r>
        </w:sdtContent>
      </w:sdt>
    </w:p>
    <w:p w14:paraId="22E24A11" w14:textId="10E73474" w:rsidR="006145A3" w:rsidRPr="00A00553" w:rsidRDefault="006145A3" w:rsidP="006145A3">
      <w:pPr>
        <w:pStyle w:val="Para0"/>
      </w:pPr>
      <w:r w:rsidRPr="00231325">
        <w:t xml:space="preserve">On a more everyday level, there are </w:t>
      </w:r>
      <w:r w:rsidRPr="00A00553">
        <w:t>language-based, socially valued cultural practices, like how to tell stories or the use of gestures</w:t>
      </w:r>
      <w:r w:rsidR="00DC1469">
        <w:t xml:space="preserve"> (and hand signs)</w:t>
      </w:r>
      <w:r w:rsidRPr="00A00553">
        <w:t>, which Indigenous people recognise and value as theirs. Indigenous language programmes can teach, reinforce and/or extend these Indigenous ways of doing things with Indigenous languages. Indigenous languages programmes that are co-designed with Indigenous community members weave these culturally valued ways of using Indigenous languages into the curriculum, sometimes explicitly, sometimes implicitly/automatically.</w:t>
      </w:r>
    </w:p>
    <w:p w14:paraId="5E40288B" w14:textId="3376787F" w:rsidR="006145A3" w:rsidRPr="00A00553" w:rsidRDefault="006145A3" w:rsidP="006145A3">
      <w:pPr>
        <w:pStyle w:val="Para0"/>
      </w:pPr>
      <w:r w:rsidRPr="00A00553">
        <w:t>The study of the Māori language incorporates cultural ways of using language, and so could incorporate gesture and body language. Some</w:t>
      </w:r>
      <w:r w:rsidR="004F4DC6">
        <w:t xml:space="preserve"> gestures (hand, head, eyebrow, </w:t>
      </w:r>
      <w:r w:rsidRPr="00A00553">
        <w:t xml:space="preserve">etc.) are like scripts and they may be choreographed for performances such as the </w:t>
      </w:r>
      <w:r w:rsidRPr="00A00553">
        <w:rPr>
          <w:i/>
        </w:rPr>
        <w:t>haka</w:t>
      </w:r>
      <w:r w:rsidRPr="00A00553">
        <w:t>. Owing to this performance base, they are often objects of study and practice in Māori language and culture curriculum or interd</w:t>
      </w:r>
      <w:r w:rsidR="004F4DC6">
        <w:t>isciplinary units of work (e.g. </w:t>
      </w:r>
      <w:r w:rsidRPr="00A00553">
        <w:t xml:space="preserve">the arts). Other gestures may accompany everyday speech styles, and may replace speech or reinforce it </w:t>
      </w:r>
      <w:sdt>
        <w:sdtPr>
          <w:id w:val="-249051696"/>
          <w:citation/>
        </w:sdtPr>
        <w:sdtEndPr/>
        <w:sdtContent>
          <w:r w:rsidR="009A2D24">
            <w:fldChar w:fldCharType="begin"/>
          </w:r>
          <w:r w:rsidR="009A2D24">
            <w:instrText xml:space="preserve"> CITATION Met05 \l 2057  \m Gru16</w:instrText>
          </w:r>
          <w:r w:rsidR="009A2D24">
            <w:fldChar w:fldCharType="separate"/>
          </w:r>
          <w:bookmarkStart w:id="279" w:name="Gru16_195"/>
          <w:r w:rsidR="009A2D24" w:rsidRPr="009A2D24">
            <w:rPr>
              <w:noProof/>
            </w:rPr>
            <w:t>(Metge, 2005</w:t>
          </w:r>
          <w:r w:rsidR="009A2D24" w:rsidRPr="009A2D24">
            <w:rPr>
              <w:noProof/>
              <w:vertAlign w:val="subscript"/>
            </w:rPr>
            <w:t>[194]</w:t>
          </w:r>
          <w:r w:rsidR="009A2D24" w:rsidRPr="009A2D24">
            <w:rPr>
              <w:noProof/>
            </w:rPr>
            <w:t>; Gruber, J. et al, 2016</w:t>
          </w:r>
          <w:r w:rsidR="009A2D24" w:rsidRPr="009A2D24">
            <w:rPr>
              <w:noProof/>
              <w:vertAlign w:val="subscript"/>
            </w:rPr>
            <w:t>[195]</w:t>
          </w:r>
          <w:r w:rsidR="009A2D24" w:rsidRPr="009A2D24">
            <w:rPr>
              <w:noProof/>
            </w:rPr>
            <w:t>)</w:t>
          </w:r>
          <w:bookmarkEnd w:id="279"/>
          <w:r w:rsidR="009A2D24">
            <w:fldChar w:fldCharType="end"/>
          </w:r>
        </w:sdtContent>
      </w:sdt>
      <w:r w:rsidRPr="00A00553">
        <w:t xml:space="preserve">. Māori curriculum writers or local Māori language teams may consider them to be target features they wish Māori students to reproduce in their speaking. Differences in sociocultural uses of gesture between Māori and non-Māori has been noted as a cause of miscommunication between these cultural groups, so this could be a productive topic in a language awareness course. </w:t>
      </w:r>
    </w:p>
    <w:p w14:paraId="5E604971" w14:textId="07509048" w:rsidR="00DC1469" w:rsidRDefault="006145A3" w:rsidP="006145A3">
      <w:pPr>
        <w:pStyle w:val="Para0"/>
      </w:pPr>
      <w:r w:rsidRPr="00A00553">
        <w:t>Crafting and telling a story is a cultural art form, which may be gradually absorbed through exposure or it may be more overtly instructed. Indigenous language programmes across different language ecologies can harness story for teaching and augmenting Indigenous languages. Story is also a vehicle for imparting Indigenous knowledges</w:t>
      </w:r>
      <w:r w:rsidR="00DC1469">
        <w:t>,</w:t>
      </w:r>
      <w:r w:rsidRPr="00A00553">
        <w:t xml:space="preserve"> culture</w:t>
      </w:r>
      <w:r w:rsidR="00DC1469">
        <w:t xml:space="preserve"> and social values</w:t>
      </w:r>
      <w:r w:rsidRPr="00A00553">
        <w:t>. What</w:t>
      </w:r>
      <w:r w:rsidRPr="00231325">
        <w:t xml:space="preserve"> constitutes 'a good yarn' </w:t>
      </w:r>
      <w:r w:rsidR="00DC1469">
        <w:t xml:space="preserve">(a good story) </w:t>
      </w:r>
      <w:r w:rsidRPr="00231325">
        <w:t xml:space="preserve">is culturally determined. </w:t>
      </w:r>
    </w:p>
    <w:p w14:paraId="38BBC83D" w14:textId="77777777" w:rsidR="00DC1469" w:rsidRDefault="00DC1469">
      <w:pPr>
        <w:widowControl/>
        <w:spacing w:after="200" w:line="276" w:lineRule="auto"/>
        <w:jc w:val="left"/>
        <w:rPr>
          <w:color w:val="000000" w:themeColor="text1"/>
          <w:sz w:val="20"/>
        </w:rPr>
      </w:pPr>
      <w:r>
        <w:br w:type="page"/>
      </w:r>
    </w:p>
    <w:tbl>
      <w:tblPr>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402DA8" w:rsidRPr="00E2226B" w14:paraId="6514894C" w14:textId="77777777" w:rsidTr="00954260">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0E1F2F89" w14:textId="62E72F50" w:rsidR="00402DA8" w:rsidRDefault="00402DA8" w:rsidP="00402DA8">
            <w:pPr>
              <w:pStyle w:val="Caption"/>
              <w:keepNext w:val="0"/>
            </w:pPr>
            <w:r w:rsidRPr="00B44A50">
              <w:lastRenderedPageBreak/>
              <w:t>Box</w:t>
            </w:r>
            <w:r>
              <w:t> </w:t>
            </w:r>
            <w:r>
              <w:rPr>
                <w:noProof/>
              </w:rPr>
              <w:fldChar w:fldCharType="begin"/>
            </w:r>
            <w:r>
              <w:rPr>
                <w:noProof/>
              </w:rPr>
              <w:instrText xml:space="preserve"> STYLEREF 1 \s </w:instrText>
            </w:r>
            <w:r>
              <w:rPr>
                <w:noProof/>
              </w:rPr>
              <w:fldChar w:fldCharType="separate"/>
            </w:r>
            <w:r w:rsidR="00CA5B8D">
              <w:rPr>
                <w:noProof/>
              </w:rPr>
              <w:t>7</w:t>
            </w:r>
            <w:r>
              <w:rPr>
                <w:noProof/>
              </w:rPr>
              <w:fldChar w:fldCharType="end"/>
            </w:r>
            <w:r>
              <w:t>.</w:t>
            </w:r>
            <w:r>
              <w:rPr>
                <w:noProof/>
              </w:rPr>
              <w:fldChar w:fldCharType="begin"/>
            </w:r>
            <w:r>
              <w:rPr>
                <w:noProof/>
              </w:rPr>
              <w:instrText xml:space="preserve"> SEQ Box \* ARABIC \s 1 </w:instrText>
            </w:r>
            <w:r>
              <w:rPr>
                <w:noProof/>
              </w:rPr>
              <w:fldChar w:fldCharType="separate"/>
            </w:r>
            <w:r w:rsidR="00CA5B8D">
              <w:rPr>
                <w:noProof/>
              </w:rPr>
              <w:t>4</w:t>
            </w:r>
            <w:r>
              <w:rPr>
                <w:noProof/>
              </w:rPr>
              <w:fldChar w:fldCharType="end"/>
            </w:r>
            <w:r>
              <w:t xml:space="preserve">. </w:t>
            </w:r>
            <w:r w:rsidRPr="00402DA8">
              <w:rPr>
                <w:i/>
              </w:rPr>
              <w:t>Kapa Haka</w:t>
            </w:r>
            <w:r w:rsidRPr="00402DA8">
              <w:t>: Māori performing arts, Aotearoa New Zealand</w:t>
            </w:r>
          </w:p>
          <w:p w14:paraId="5EF7100B" w14:textId="5BD957F6" w:rsidR="00402DA8" w:rsidRPr="00402DA8" w:rsidRDefault="00402DA8" w:rsidP="00402DA8">
            <w:pPr>
              <w:pStyle w:val="Para0"/>
            </w:pPr>
            <w:r w:rsidRPr="00402DA8">
              <w:rPr>
                <w:i/>
              </w:rPr>
              <w:t>Kapa Haka</w:t>
            </w:r>
            <w:r w:rsidRPr="00402DA8">
              <w:t xml:space="preserve"> are incorporated into education as part of the national education system through Mātauranga Māori 'Māori education' designed for Māori students, or as an extra-curricular activity similar to sports or music competitions. The national </w:t>
            </w:r>
            <w:r w:rsidRPr="00402DA8">
              <w:rPr>
                <w:i/>
              </w:rPr>
              <w:t>Kapa Haka</w:t>
            </w:r>
            <w:r w:rsidRPr="00402DA8">
              <w:t xml:space="preserve"> competition is held for both primary and secondary schools every two years. This is completely Māori-led, and based on traditional customs, some of which are still in use on the </w:t>
            </w:r>
            <w:r w:rsidRPr="00402DA8">
              <w:rPr>
                <w:i/>
              </w:rPr>
              <w:t>marae</w:t>
            </w:r>
            <w:r w:rsidRPr="00402DA8">
              <w:t xml:space="preserve"> </w:t>
            </w:r>
            <w:r>
              <w:t>“</w:t>
            </w:r>
            <w:r w:rsidRPr="00402DA8">
              <w:t>tribal meeting grounds</w:t>
            </w:r>
            <w:r>
              <w:t>”</w:t>
            </w:r>
            <w:r w:rsidRPr="00402DA8">
              <w:t xml:space="preserve"> as well </w:t>
            </w:r>
            <w:r>
              <w:t>as in the wider community, e.g. </w:t>
            </w:r>
            <w:r w:rsidRPr="00402DA8">
              <w:t xml:space="preserve">for greetings, meetings, or funerals. </w:t>
            </w:r>
          </w:p>
          <w:p w14:paraId="472F4F9C" w14:textId="0A3291F2" w:rsidR="00402DA8" w:rsidRPr="00402DA8" w:rsidRDefault="00402DA8" w:rsidP="00402DA8">
            <w:pPr>
              <w:pStyle w:val="Para0"/>
            </w:pPr>
            <w:r w:rsidRPr="00402DA8">
              <w:t xml:space="preserve">The competitions include a range of performing arts with different skills in dance, singing, and specific activities such as </w:t>
            </w:r>
            <w:r w:rsidRPr="00402DA8">
              <w:rPr>
                <w:i/>
              </w:rPr>
              <w:t>poi</w:t>
            </w:r>
            <w:r w:rsidRPr="00402DA8">
              <w:t xml:space="preserve"> </w:t>
            </w:r>
            <w:r>
              <w:t>“swinging balls”</w:t>
            </w:r>
            <w:r w:rsidRPr="00402DA8">
              <w:t xml:space="preserve"> or </w:t>
            </w:r>
            <w:r w:rsidRPr="00402DA8">
              <w:rPr>
                <w:i/>
              </w:rPr>
              <w:t>rākau</w:t>
            </w:r>
            <w:r w:rsidRPr="00402DA8">
              <w:t xml:space="preserve"> </w:t>
            </w:r>
            <w:r>
              <w:t>“stick work”</w:t>
            </w:r>
            <w:r w:rsidRPr="00402DA8">
              <w:t xml:space="preserve">. The competitions are divided into sections, which have specific judging criteria, but there are also generic requirements, which include proficiency in </w:t>
            </w:r>
            <w:r w:rsidRPr="00954260">
              <w:rPr>
                <w:i/>
              </w:rPr>
              <w:t>te reo Māori</w:t>
            </w:r>
            <w:r>
              <w:t xml:space="preserve"> “the Māori language”</w:t>
            </w:r>
            <w:r w:rsidRPr="00402DA8">
              <w:t xml:space="preserve">. Each of these activities has its specific set of terminology, proverbs, and custom, and requires cultural knowledge such as protocols and genealogy. They are music-based, and therefore allow and require repetition, which supports language learning and use at different levels of proficiency. </w:t>
            </w:r>
          </w:p>
          <w:p w14:paraId="7D0DF6CC" w14:textId="785D356C" w:rsidR="00402DA8" w:rsidRPr="00402DA8" w:rsidRDefault="00402DA8" w:rsidP="00402DA8">
            <w:pPr>
              <w:pStyle w:val="Para0"/>
            </w:pPr>
            <w:r w:rsidRPr="00402DA8">
              <w:t xml:space="preserve">Learning and rehearsals are group based, following a fundamental cultural value of </w:t>
            </w:r>
            <w:r w:rsidRPr="00402DA8">
              <w:rPr>
                <w:i/>
              </w:rPr>
              <w:t>whānaungatanga</w:t>
            </w:r>
            <w:r>
              <w:t xml:space="preserve"> “based on family”</w:t>
            </w:r>
            <w:r w:rsidRPr="00402DA8">
              <w:t>. They may include weekends where everyone sleeps, eats and practises the performance together, for example in the school hall. There is a range of experts, in language as well as traditional and modern music, voice training, cho</w:t>
            </w:r>
            <w:r w:rsidR="00954260">
              <w:t>reography, costume, tattoo art, </w:t>
            </w:r>
            <w:r w:rsidRPr="00402DA8">
              <w:t xml:space="preserve">etc. These experts may be parents or other community members as well as teachers, which encourages home-school linkages and provides a specific domain to support Māori language use.  </w:t>
            </w:r>
          </w:p>
          <w:p w14:paraId="608E8B73" w14:textId="77777777" w:rsidR="00402DA8" w:rsidRDefault="00402DA8" w:rsidP="00402DA8">
            <w:pPr>
              <w:pStyle w:val="Para0"/>
            </w:pPr>
            <w:r w:rsidRPr="00402DA8">
              <w:t>The skills involved in Kapa Haka can also extend and link to other curriculum area</w:t>
            </w:r>
            <w:r>
              <w:t>s through the Mātaruanga Māori “Māori curriculum”</w:t>
            </w:r>
            <w:r w:rsidRPr="00402DA8">
              <w:t xml:space="preserve">. Innovations over recent years have included a competition for pre-school children in </w:t>
            </w:r>
            <w:r w:rsidRPr="00954260">
              <w:rPr>
                <w:i/>
              </w:rPr>
              <w:t>Kōhanga Reo</w:t>
            </w:r>
            <w:r>
              <w:t xml:space="preserve"> “language nests”</w:t>
            </w:r>
            <w:r w:rsidRPr="00402DA8">
              <w:t xml:space="preserve">, student broadcasting through social and traditional media, the participation by groups of disabled students, and the inclusion of a modern translation of the famous popular song Bohemian Rhapsody. </w:t>
            </w:r>
            <w:r w:rsidRPr="00402DA8">
              <w:rPr>
                <w:i/>
              </w:rPr>
              <w:t>Kapa Haka</w:t>
            </w:r>
            <w:r w:rsidRPr="00402DA8">
              <w:t xml:space="preserve"> supports the transmission of traditional culture and a traditional cultural way of using language, but is also a dynamic, contemporary performative practice. It offers a purpose-focused event, allowing Māori students to excel as Māori and encouraging their engagement in education.</w:t>
            </w:r>
          </w:p>
          <w:p w14:paraId="7C67520A" w14:textId="77777777" w:rsidR="00954260" w:rsidRPr="00233194" w:rsidRDefault="00954260" w:rsidP="00954260">
            <w:pPr>
              <w:pStyle w:val="Para0"/>
            </w:pPr>
            <w:r w:rsidRPr="00233194">
              <w:t>Further reading</w:t>
            </w:r>
          </w:p>
          <w:p w14:paraId="22C34F29" w14:textId="0C5D38CF" w:rsidR="00954260" w:rsidRDefault="008D0BBE" w:rsidP="00954260">
            <w:pPr>
              <w:pStyle w:val="Sourcenotes"/>
            </w:pPr>
            <w:sdt>
              <w:sdtPr>
                <w:id w:val="1724720058"/>
                <w:citation/>
              </w:sdtPr>
              <w:sdtEndPr/>
              <w:sdtContent>
                <w:r w:rsidR="00233194">
                  <w:fldChar w:fldCharType="begin"/>
                </w:r>
                <w:r w:rsidR="00233194">
                  <w:instrText xml:space="preserve"> CITATION CrossRef_Q92WMFo655t9pKLKqlx2zQ \l 2057 </w:instrText>
                </w:r>
                <w:r w:rsidR="00233194">
                  <w:fldChar w:fldCharType="separate"/>
                </w:r>
                <w:r w:rsidR="00233194" w:rsidRPr="00233194">
                  <w:rPr>
                    <w:noProof/>
                  </w:rPr>
                  <w:t>(</w:t>
                </w:r>
                <w:bookmarkStart w:id="280" w:name="CrossRef_Q92WMFo655t9pKLKqlx2zQ_196"/>
                <w:r w:rsidR="00233194" w:rsidRPr="00233194">
                  <w:rPr>
                    <w:noProof/>
                  </w:rPr>
                  <w:t>Ka’ai-Mahuta, 2008</w:t>
                </w:r>
                <w:r w:rsidR="00233194" w:rsidRPr="00233194">
                  <w:rPr>
                    <w:noProof/>
                    <w:vertAlign w:val="subscript"/>
                  </w:rPr>
                  <w:t>[196]</w:t>
                </w:r>
                <w:r w:rsidR="00233194" w:rsidRPr="00233194">
                  <w:rPr>
                    <w:noProof/>
                  </w:rPr>
                  <w:t>)</w:t>
                </w:r>
                <w:bookmarkEnd w:id="280"/>
                <w:r w:rsidR="00233194">
                  <w:fldChar w:fldCharType="end"/>
                </w:r>
              </w:sdtContent>
            </w:sdt>
            <w:r w:rsidR="00954260">
              <w:t xml:space="preserve">, "The Impact of Language Loss on the Māori Performing Arts", Te Kaharoa: eJournal on Indigenous Pacific Issues, </w:t>
            </w:r>
            <w:hyperlink r:id="rId31" w:history="1">
              <w:r w:rsidR="00233194" w:rsidRPr="00E56070">
                <w:rPr>
                  <w:rStyle w:val="Hyperlink"/>
                </w:rPr>
                <w:t>https://www.tekaharoa.com/index.php/tekaharoa/article/view/139</w:t>
              </w:r>
            </w:hyperlink>
            <w:r w:rsidR="00233194">
              <w:t xml:space="preserve"> (accessed on 4 October 2021)</w:t>
            </w:r>
          </w:p>
          <w:p w14:paraId="39C08AC6" w14:textId="6F591D0A" w:rsidR="00954260" w:rsidRDefault="008D0BBE" w:rsidP="00954260">
            <w:pPr>
              <w:pStyle w:val="Sourcenotes"/>
            </w:pPr>
            <w:sdt>
              <w:sdtPr>
                <w:id w:val="108091364"/>
                <w:citation/>
              </w:sdtPr>
              <w:sdtEndPr/>
              <w:sdtContent>
                <w:r w:rsidR="00233194">
                  <w:fldChar w:fldCharType="begin"/>
                </w:r>
                <w:r w:rsidR="00233194">
                  <w:instrText xml:space="preserve"> CITATION Ker17 \l 2057 </w:instrText>
                </w:r>
                <w:r w:rsidR="00233194">
                  <w:fldChar w:fldCharType="separate"/>
                </w:r>
                <w:r w:rsidR="00233194" w:rsidRPr="00233194">
                  <w:rPr>
                    <w:noProof/>
                  </w:rPr>
                  <w:t>(</w:t>
                </w:r>
                <w:bookmarkStart w:id="281" w:name="Ker17_197"/>
                <w:r w:rsidR="00233194" w:rsidRPr="00233194">
                  <w:rPr>
                    <w:noProof/>
                  </w:rPr>
                  <w:t>Kerehoma, 2017</w:t>
                </w:r>
                <w:r w:rsidR="00233194" w:rsidRPr="00233194">
                  <w:rPr>
                    <w:noProof/>
                    <w:vertAlign w:val="subscript"/>
                  </w:rPr>
                  <w:t>[197]</w:t>
                </w:r>
                <w:r w:rsidR="00233194" w:rsidRPr="00233194">
                  <w:rPr>
                    <w:noProof/>
                  </w:rPr>
                  <w:t>)</w:t>
                </w:r>
                <w:bookmarkEnd w:id="281"/>
                <w:r w:rsidR="00233194">
                  <w:fldChar w:fldCharType="end"/>
                </w:r>
              </w:sdtContent>
            </w:sdt>
            <w:r w:rsidR="00233194">
              <w:t xml:space="preserve">, </w:t>
            </w:r>
            <w:r w:rsidR="00954260" w:rsidRPr="00233194">
              <w:rPr>
                <w:i/>
              </w:rPr>
              <w:t>He hua rānei tō te kapa haka : kapa haka as a retention tool for Māori students in mainstream secondary schools (Thesis)</w:t>
            </w:r>
            <w:r w:rsidR="00954260">
              <w:t xml:space="preserve">, </w:t>
            </w:r>
            <w:hyperlink r:id="rId32" w:history="1">
              <w:r w:rsidR="00233194" w:rsidRPr="00E56070">
                <w:rPr>
                  <w:rStyle w:val="Hyperlink"/>
                </w:rPr>
                <w:t>http://hdl.handle.net/10179/12808</w:t>
              </w:r>
            </w:hyperlink>
            <w:r w:rsidR="00233194">
              <w:t xml:space="preserve"> (accessed on 4 October 2021)</w:t>
            </w:r>
          </w:p>
          <w:p w14:paraId="2A988E38" w14:textId="48BBF02D" w:rsidR="00954260" w:rsidRDefault="008D0BBE" w:rsidP="00954260">
            <w:pPr>
              <w:pStyle w:val="Sourcenotes"/>
            </w:pPr>
            <w:sdt>
              <w:sdtPr>
                <w:id w:val="104004651"/>
                <w:citation/>
              </w:sdtPr>
              <w:sdtEndPr/>
              <w:sdtContent>
                <w:r w:rsidR="00233194">
                  <w:fldChar w:fldCharType="begin"/>
                </w:r>
                <w:r w:rsidR="00233194">
                  <w:instrText xml:space="preserve">CITATION Par18 \l 2057 </w:instrText>
                </w:r>
                <w:r w:rsidR="00233194">
                  <w:fldChar w:fldCharType="separate"/>
                </w:r>
                <w:r w:rsidR="00233194" w:rsidRPr="00233194">
                  <w:rPr>
                    <w:noProof/>
                  </w:rPr>
                  <w:t>(</w:t>
                </w:r>
                <w:bookmarkStart w:id="282" w:name="Par18_198"/>
                <w:r w:rsidR="00233194" w:rsidRPr="00233194">
                  <w:rPr>
                    <w:noProof/>
                  </w:rPr>
                  <w:t>Paranihi, 2018</w:t>
                </w:r>
                <w:r w:rsidR="00233194" w:rsidRPr="00233194">
                  <w:rPr>
                    <w:noProof/>
                    <w:vertAlign w:val="subscript"/>
                  </w:rPr>
                  <w:t>[198]</w:t>
                </w:r>
                <w:r w:rsidR="00233194" w:rsidRPr="00233194">
                  <w:rPr>
                    <w:noProof/>
                  </w:rPr>
                  <w:t>)</w:t>
                </w:r>
                <w:bookmarkEnd w:id="282"/>
                <w:r w:rsidR="00233194">
                  <w:fldChar w:fldCharType="end"/>
                </w:r>
              </w:sdtContent>
            </w:sdt>
            <w:r w:rsidR="00233194">
              <w:t xml:space="preserve">, </w:t>
            </w:r>
            <w:r w:rsidR="00954260">
              <w:t>"Kapa haka on the rise - 2018 highlights", in T</w:t>
            </w:r>
            <w:r w:rsidR="00233194">
              <w:t>e Ao Māori News, 14 Dec 2018,</w:t>
            </w:r>
            <w:r w:rsidR="00954260">
              <w:t xml:space="preserve"> </w:t>
            </w:r>
            <w:hyperlink r:id="rId33" w:history="1">
              <w:r w:rsidR="00233194" w:rsidRPr="00E56070">
                <w:rPr>
                  <w:rStyle w:val="Hyperlink"/>
                </w:rPr>
                <w:t>https://www.teaoMāori.news/kapa-haka-on-rise-2018-highlights</w:t>
              </w:r>
            </w:hyperlink>
            <w:r w:rsidR="00233194">
              <w:t xml:space="preserve"> (accessed on 4 October 2021)</w:t>
            </w:r>
          </w:p>
          <w:p w14:paraId="3994CE57" w14:textId="6CF9BA19" w:rsidR="00954260" w:rsidRDefault="008D0BBE" w:rsidP="00954260">
            <w:pPr>
              <w:pStyle w:val="Sourcenotes"/>
            </w:pPr>
            <w:sdt>
              <w:sdtPr>
                <w:id w:val="671454449"/>
                <w:citation/>
              </w:sdtPr>
              <w:sdtEndPr/>
              <w:sdtContent>
                <w:r w:rsidR="00233194">
                  <w:fldChar w:fldCharType="begin"/>
                </w:r>
                <w:r w:rsidR="00233194">
                  <w:instrText xml:space="preserve">CITATION Pih14 \l 2057 </w:instrText>
                </w:r>
                <w:r w:rsidR="00233194">
                  <w:fldChar w:fldCharType="separate"/>
                </w:r>
                <w:r w:rsidR="00233194" w:rsidRPr="00233194">
                  <w:rPr>
                    <w:noProof/>
                  </w:rPr>
                  <w:t>(</w:t>
                </w:r>
                <w:bookmarkStart w:id="283" w:name="Pih14_199"/>
                <w:r w:rsidR="00233194" w:rsidRPr="00233194">
                  <w:rPr>
                    <w:noProof/>
                  </w:rPr>
                  <w:t>Pihama, Tipene and Skipper, 2014</w:t>
                </w:r>
                <w:r w:rsidR="00233194" w:rsidRPr="00233194">
                  <w:rPr>
                    <w:noProof/>
                    <w:vertAlign w:val="subscript"/>
                  </w:rPr>
                  <w:t>[199]</w:t>
                </w:r>
                <w:r w:rsidR="00233194" w:rsidRPr="00233194">
                  <w:rPr>
                    <w:noProof/>
                  </w:rPr>
                  <w:t>)</w:t>
                </w:r>
                <w:bookmarkEnd w:id="283"/>
                <w:r w:rsidR="00233194">
                  <w:fldChar w:fldCharType="end"/>
                </w:r>
              </w:sdtContent>
            </w:sdt>
            <w:r w:rsidR="00233194">
              <w:t xml:space="preserve">, </w:t>
            </w:r>
            <w:r w:rsidR="00954260" w:rsidRPr="00233194">
              <w:rPr>
                <w:i/>
              </w:rPr>
              <w:t>Ngā hua a Tāne Rore: The benefits of Kapa Haka</w:t>
            </w:r>
            <w:r w:rsidR="00954260">
              <w:t xml:space="preserve">, </w:t>
            </w:r>
            <w:r w:rsidR="00233194">
              <w:t>Manatū Taonga - Ministry of Culture and Heritage, Wellington</w:t>
            </w:r>
            <w:r w:rsidR="00954260">
              <w:t xml:space="preserve">, </w:t>
            </w:r>
            <w:hyperlink r:id="rId34" w:history="1">
              <w:r w:rsidR="00233194" w:rsidRPr="00E56070">
                <w:rPr>
                  <w:rStyle w:val="Hyperlink"/>
                </w:rPr>
                <w:t>https://hdl.handle.net/10289/12603</w:t>
              </w:r>
            </w:hyperlink>
            <w:r w:rsidR="00233194">
              <w:t xml:space="preserve"> (accessed on 4 October 2021)</w:t>
            </w:r>
          </w:p>
          <w:p w14:paraId="1CBCAAD6" w14:textId="4365436C" w:rsidR="00954260" w:rsidRDefault="008D0BBE" w:rsidP="00954260">
            <w:pPr>
              <w:pStyle w:val="Sourcenotes"/>
            </w:pPr>
            <w:sdt>
              <w:sdtPr>
                <w:id w:val="683247523"/>
                <w:citation/>
              </w:sdtPr>
              <w:sdtEndPr/>
              <w:sdtContent>
                <w:r w:rsidR="00233194">
                  <w:fldChar w:fldCharType="begin"/>
                </w:r>
                <w:r w:rsidR="00233194">
                  <w:instrText xml:space="preserve"> CITATION Whi08 \l 2057 </w:instrText>
                </w:r>
                <w:r w:rsidR="00233194">
                  <w:fldChar w:fldCharType="separate"/>
                </w:r>
                <w:r w:rsidR="00233194" w:rsidRPr="00233194">
                  <w:rPr>
                    <w:noProof/>
                  </w:rPr>
                  <w:t>(</w:t>
                </w:r>
                <w:bookmarkStart w:id="284" w:name="Whi08_200"/>
                <w:r w:rsidR="00233194" w:rsidRPr="00233194">
                  <w:rPr>
                    <w:noProof/>
                  </w:rPr>
                  <w:t>Whitinui, 2008</w:t>
                </w:r>
                <w:r w:rsidR="00233194" w:rsidRPr="00233194">
                  <w:rPr>
                    <w:noProof/>
                    <w:vertAlign w:val="subscript"/>
                  </w:rPr>
                  <w:t>[200]</w:t>
                </w:r>
                <w:r w:rsidR="00233194" w:rsidRPr="00233194">
                  <w:rPr>
                    <w:noProof/>
                  </w:rPr>
                  <w:t>)</w:t>
                </w:r>
                <w:bookmarkEnd w:id="284"/>
                <w:r w:rsidR="00233194">
                  <w:fldChar w:fldCharType="end"/>
                </w:r>
              </w:sdtContent>
            </w:sdt>
            <w:r w:rsidR="00954260">
              <w:t xml:space="preserve">, "Kapa Haka counts: Improving participation levels of Māori students in mainstream secondary schools", MAI Review, Vol. 2008/3, article 8, </w:t>
            </w:r>
            <w:hyperlink r:id="rId35" w:history="1">
              <w:r w:rsidR="00233194" w:rsidRPr="00E56070">
                <w:rPr>
                  <w:rStyle w:val="Hyperlink"/>
                </w:rPr>
                <w:t>http://www.review.mai.ac.nz/mrindex/MR/article/view/187/194.html</w:t>
              </w:r>
            </w:hyperlink>
            <w:r w:rsidR="00233194">
              <w:t xml:space="preserve"> (accessed on 4 October 2021)</w:t>
            </w:r>
            <w:r w:rsidR="00954260">
              <w:t>.</w:t>
            </w:r>
          </w:p>
          <w:p w14:paraId="48F7CA31" w14:textId="1ED86745" w:rsidR="00954260" w:rsidRPr="00775FF9" w:rsidRDefault="00954260" w:rsidP="00954260">
            <w:pPr>
              <w:pStyle w:val="Sourcenotes"/>
            </w:pPr>
            <w:r>
              <w:t xml:space="preserve">Qualifications guidelines: Māori performance, </w:t>
            </w:r>
            <w:hyperlink r:id="rId36" w:history="1">
              <w:r w:rsidR="00233194" w:rsidRPr="00E56070">
                <w:rPr>
                  <w:rStyle w:val="Hyperlink"/>
                </w:rPr>
                <w:t>https://www.nzqa.govt.nz/Māori-and-pasifika/field-Māori-assessment-support-materials/Māori-performance/</w:t>
              </w:r>
            </w:hyperlink>
            <w:r w:rsidR="00233194">
              <w:t xml:space="preserve"> </w:t>
            </w:r>
          </w:p>
        </w:tc>
      </w:tr>
    </w:tbl>
    <w:p w14:paraId="4A325B7E" w14:textId="77777777" w:rsidR="006145A3" w:rsidRPr="009B2047" w:rsidRDefault="006145A3" w:rsidP="006145A3">
      <w:pPr>
        <w:pStyle w:val="Heading2"/>
        <w:numPr>
          <w:ilvl w:val="1"/>
          <w:numId w:val="22"/>
        </w:numPr>
      </w:pPr>
      <w:bookmarkStart w:id="285" w:name="_Toc82093581"/>
      <w:bookmarkStart w:id="286" w:name="_Toc95824117"/>
      <w:r w:rsidRPr="0042139F">
        <w:lastRenderedPageBreak/>
        <w:t>Collaborative</w:t>
      </w:r>
      <w:r w:rsidRPr="009B2047">
        <w:t xml:space="preserve"> school-community relationships</w:t>
      </w:r>
      <w:bookmarkEnd w:id="285"/>
      <w:bookmarkEnd w:id="286"/>
    </w:p>
    <w:p w14:paraId="08ECC718" w14:textId="3A6E404B" w:rsidR="006145A3" w:rsidRPr="00F477C2" w:rsidRDefault="006145A3" w:rsidP="006145A3">
      <w:pPr>
        <w:pStyle w:val="Para0"/>
      </w:pPr>
      <w:r w:rsidRPr="00F477C2">
        <w:t xml:space="preserve">A strong school-community relationship lies at the heart of successful Indigenous language programmes. Effective collaboration between a school and local Indigenous community is necessary to establish a school-based Indigenous language programme and in turn, a successful language programme can strengthen school-community relationships. Relationships between Indigenous communities and schools are imbued with intergenerational trauma from past practices. Parents and grandparents live with experiences of racism in the education system and in many cases violence in the classroom. In most of the jurisdictions schooling was given as a rationale for the removal of children from families, a damaging foundation on which to build relations between schools and community members. Although many of these </w:t>
      </w:r>
      <w:r w:rsidR="00DC1469">
        <w:t xml:space="preserve">overtly </w:t>
      </w:r>
      <w:r w:rsidRPr="00F477C2">
        <w:t xml:space="preserve">racist policies and practices have ended, the experiences of parents, grandparents and other carers remain with them as their children engage in schooling. School language programmes have the potential to help with countering </w:t>
      </w:r>
      <w:r w:rsidR="00DC1469">
        <w:t xml:space="preserve">experiences of </w:t>
      </w:r>
      <w:r w:rsidRPr="00F477C2">
        <w:t xml:space="preserve">racism and reducing </w:t>
      </w:r>
      <w:r>
        <w:t xml:space="preserve">the </w:t>
      </w:r>
      <w:r w:rsidRPr="00F477C2">
        <w:t xml:space="preserve">mistrust </w:t>
      </w:r>
      <w:r>
        <w:t xml:space="preserve">that results </w:t>
      </w:r>
      <w:r w:rsidRPr="00F477C2">
        <w:t>from intergenerational trauma.</w:t>
      </w:r>
    </w:p>
    <w:p w14:paraId="7E9EA0C8" w14:textId="7273F8B9" w:rsidR="006145A3" w:rsidRPr="00F477C2" w:rsidRDefault="006145A3" w:rsidP="006145A3">
      <w:pPr>
        <w:pStyle w:val="Para0"/>
      </w:pPr>
      <w:r w:rsidRPr="00F477C2">
        <w:t xml:space="preserve">Indigenous language community control, support and involvement is key to running an Indigenous language </w:t>
      </w:r>
      <w:r>
        <w:t>programme.</w:t>
      </w:r>
      <w:r w:rsidRPr="00F477C2">
        <w:t xml:space="preserve"> Community-school collaboration is essential to establishing and maintaining a successful language </w:t>
      </w:r>
      <w:r>
        <w:t>programme.</w:t>
      </w:r>
      <w:r w:rsidRPr="00F477C2">
        <w:t xml:space="preserve"> Until recently Indigenous communities, parents and elders were rarely consulted by schools about their children's education, or invited to collaborate with the school in a respectful way. Emphases on the role of the Indigenous language community may seem to shift the responsibility away from schools. For Australia, Lowe et al. </w:t>
      </w:r>
      <w:sdt>
        <w:sdtPr>
          <w:id w:val="1075088239"/>
          <w:citation/>
        </w:sdtPr>
        <w:sdtEndPr/>
        <w:sdtContent>
          <w:r w:rsidR="00B10239">
            <w:fldChar w:fldCharType="begin"/>
          </w:r>
          <w:r w:rsidR="00B10239">
            <w:instrText xml:space="preserve">CITATION CrossRef_Y_3fhCKbrhw6fvvlT0WWDA \n  \l 2057 </w:instrText>
          </w:r>
          <w:r w:rsidR="00B10239">
            <w:fldChar w:fldCharType="separate"/>
          </w:r>
          <w:r w:rsidR="00B10239" w:rsidRPr="00B10239">
            <w:rPr>
              <w:noProof/>
            </w:rPr>
            <w:t>(2019</w:t>
          </w:r>
          <w:r w:rsidR="00B10239" w:rsidRPr="00B10239">
            <w:rPr>
              <w:noProof/>
              <w:vertAlign w:val="subscript"/>
            </w:rPr>
            <w:t>[201]</w:t>
          </w:r>
          <w:r w:rsidR="00B10239" w:rsidRPr="00B10239">
            <w:rPr>
              <w:noProof/>
            </w:rPr>
            <w:t>)</w:t>
          </w:r>
          <w:r w:rsidR="00B10239">
            <w:fldChar w:fldCharType="end"/>
          </w:r>
        </w:sdtContent>
      </w:sdt>
      <w:r w:rsidRPr="00F477C2">
        <w:t xml:space="preserve"> observe that: </w:t>
      </w:r>
    </w:p>
    <w:p w14:paraId="268B1A49" w14:textId="77777777" w:rsidR="006145A3" w:rsidRPr="0042139F" w:rsidRDefault="006145A3" w:rsidP="006145A3">
      <w:pPr>
        <w:pStyle w:val="Quote"/>
      </w:pPr>
      <w:r w:rsidRPr="0042139F">
        <w:t xml:space="preserve">Aboriginal communities have argued that their experiences of schooling, their knowledge, languages and cultures have been ignored or tokenised by schools, and their children's educational needs largely ignored. </w:t>
      </w:r>
    </w:p>
    <w:p w14:paraId="417C1F49" w14:textId="420C91AF" w:rsidR="006145A3" w:rsidRPr="00F477C2" w:rsidRDefault="006145A3" w:rsidP="006145A3">
      <w:pPr>
        <w:pStyle w:val="Para0"/>
      </w:pPr>
      <w:r w:rsidRPr="00F477C2">
        <w:t xml:space="preserve">Thus the school, in particular school staff, need to be receptive to community views in order for collaboration to be successful. This is echoed by statements from Canadian teachers in Nunavut that parents are 'necessary partners' for bilingual education to work </w:t>
      </w:r>
      <w:sdt>
        <w:sdtPr>
          <w:id w:val="219108089"/>
          <w:citation/>
        </w:sdtPr>
        <w:sdtEndPr/>
        <w:sdtContent>
          <w:r w:rsidR="00B10239">
            <w:fldChar w:fldCharType="begin"/>
          </w:r>
          <w:r w:rsidR="00B10239">
            <w:instrText xml:space="preserve"> CITATION Ayl10 \l 2057 </w:instrText>
          </w:r>
          <w:r w:rsidR="00B10239">
            <w:fldChar w:fldCharType="separate"/>
          </w:r>
          <w:r w:rsidR="00B10239" w:rsidRPr="00B10239">
            <w:rPr>
              <w:noProof/>
            </w:rPr>
            <w:t>(</w:t>
          </w:r>
          <w:bookmarkStart w:id="287" w:name="Ayl10_202"/>
          <w:r w:rsidR="00B10239" w:rsidRPr="00B10239">
            <w:rPr>
              <w:noProof/>
            </w:rPr>
            <w:t>Aylward, 2010</w:t>
          </w:r>
          <w:r w:rsidR="00B10239" w:rsidRPr="00B10239">
            <w:rPr>
              <w:noProof/>
              <w:vertAlign w:val="subscript"/>
            </w:rPr>
            <w:t>[202]</w:t>
          </w:r>
          <w:r w:rsidR="00B10239" w:rsidRPr="00B10239">
            <w:rPr>
              <w:noProof/>
            </w:rPr>
            <w:t>)</w:t>
          </w:r>
          <w:bookmarkEnd w:id="287"/>
          <w:r w:rsidR="00B10239">
            <w:fldChar w:fldCharType="end"/>
          </w:r>
        </w:sdtContent>
      </w:sdt>
      <w:r w:rsidRPr="00F477C2">
        <w:rPr>
          <w:spacing w:val="6"/>
          <w:kern w:val="1"/>
        </w:rPr>
        <w:t>.</w:t>
      </w:r>
    </w:p>
    <w:p w14:paraId="51C91945" w14:textId="387326B8" w:rsidR="006145A3" w:rsidRPr="00F477C2" w:rsidRDefault="006145A3" w:rsidP="006145A3">
      <w:pPr>
        <w:pStyle w:val="Para0"/>
      </w:pPr>
      <w:r w:rsidRPr="00F477C2">
        <w:t xml:space="preserve">Lowe et al. </w:t>
      </w:r>
      <w:sdt>
        <w:sdtPr>
          <w:id w:val="-2075422215"/>
          <w:citation/>
        </w:sdtPr>
        <w:sdtEndPr/>
        <w:sdtContent>
          <w:r w:rsidR="00B10239">
            <w:fldChar w:fldCharType="begin"/>
          </w:r>
          <w:r w:rsidR="00B10239">
            <w:instrText xml:space="preserve">CITATION CrossRef_Y_3fhCKbrhw6fvvlT0WWDA \n  \l 2057 </w:instrText>
          </w:r>
          <w:r w:rsidR="00B10239">
            <w:fldChar w:fldCharType="separate"/>
          </w:r>
          <w:r w:rsidR="00B10239" w:rsidRPr="00B10239">
            <w:rPr>
              <w:noProof/>
            </w:rPr>
            <w:t>(2019</w:t>
          </w:r>
          <w:r w:rsidR="00B10239" w:rsidRPr="00B10239">
            <w:rPr>
              <w:noProof/>
              <w:vertAlign w:val="subscript"/>
            </w:rPr>
            <w:t>[201]</w:t>
          </w:r>
          <w:r w:rsidR="00B10239" w:rsidRPr="00B10239">
            <w:rPr>
              <w:noProof/>
            </w:rPr>
            <w:t>)</w:t>
          </w:r>
          <w:r w:rsidR="00B10239">
            <w:fldChar w:fldCharType="end"/>
          </w:r>
        </w:sdtContent>
      </w:sdt>
      <w:r w:rsidRPr="00F477C2">
        <w:t xml:space="preserve"> find that where teachers develop relationships with families in the community, the teachers' professional knowledge develops. In a number of case studies, they find that close relationships with communities make it possible to embed local Indigenous knowledge into the school curriculum. A language programme provides a focus for teachers to build and develop school-community relationships. When teachers and school leaders learn from community members, this helps to counteract the exclusion of Indigenous </w:t>
      </w:r>
      <w:r>
        <w:t>k</w:t>
      </w:r>
      <w:r w:rsidRPr="00F477C2">
        <w:t>nowledges in other educational settings and build</w:t>
      </w:r>
      <w:r>
        <w:t>s</w:t>
      </w:r>
      <w:r w:rsidRPr="00F477C2">
        <w:t xml:space="preserve"> trust between </w:t>
      </w:r>
      <w:r>
        <w:t xml:space="preserve">the </w:t>
      </w:r>
      <w:r w:rsidRPr="00F477C2">
        <w:t xml:space="preserve">school and </w:t>
      </w:r>
      <w:r>
        <w:t xml:space="preserve">the </w:t>
      </w:r>
      <w:r w:rsidRPr="00F477C2">
        <w:t>community.</w:t>
      </w:r>
    </w:p>
    <w:p w14:paraId="2ADB5F88" w14:textId="344C51A6" w:rsidR="006145A3" w:rsidRPr="00A00553" w:rsidRDefault="006145A3" w:rsidP="006145A3">
      <w:pPr>
        <w:pStyle w:val="Para0"/>
      </w:pPr>
      <w:r w:rsidRPr="00A00553">
        <w:t xml:space="preserve">In setting up and running a language programme, there are many matters about which communities and </w:t>
      </w:r>
      <w:r>
        <w:t xml:space="preserve">the </w:t>
      </w:r>
      <w:r w:rsidRPr="00A00553">
        <w:t xml:space="preserve">school will need to consult and some jurisdictions have developed lists of consultation points. The Aboriginal Languages and Cultures Victoria guide distinguishes separate consultation pathways for school-initiated and community-initiated Aboriginal languages programmes </w:t>
      </w:r>
      <w:sdt>
        <w:sdtPr>
          <w:id w:val="1423532625"/>
          <w:citation/>
        </w:sdtPr>
        <w:sdtEndPr/>
        <w:sdtContent>
          <w:r w:rsidR="00B10239">
            <w:fldChar w:fldCharType="begin"/>
          </w:r>
          <w:r w:rsidR="00B10239">
            <w:instrText xml:space="preserve"> CITATION Vic15 \l 2057 </w:instrText>
          </w:r>
          <w:r w:rsidR="00B10239">
            <w:fldChar w:fldCharType="separate"/>
          </w:r>
          <w:r w:rsidR="00B10239" w:rsidRPr="00B10239">
            <w:rPr>
              <w:noProof/>
            </w:rPr>
            <w:t>(Victorian Curriculum and Assessment Authority, 2015</w:t>
          </w:r>
          <w:r w:rsidR="00B10239" w:rsidRPr="00B10239">
            <w:rPr>
              <w:noProof/>
              <w:vertAlign w:val="subscript"/>
            </w:rPr>
            <w:t>[84]</w:t>
          </w:r>
          <w:r w:rsidR="00B10239" w:rsidRPr="00B10239">
            <w:rPr>
              <w:noProof/>
            </w:rPr>
            <w:t>)</w:t>
          </w:r>
          <w:r w:rsidR="00B10239">
            <w:fldChar w:fldCharType="end"/>
          </w:r>
        </w:sdtContent>
      </w:sdt>
      <w:r w:rsidRPr="00A00553">
        <w:t xml:space="preserve">. The State of Queensland </w:t>
      </w:r>
      <w:sdt>
        <w:sdtPr>
          <w:id w:val="545338664"/>
          <w:citation/>
        </w:sdtPr>
        <w:sdtEndPr/>
        <w:sdtContent>
          <w:r w:rsidR="00B10239">
            <w:fldChar w:fldCharType="begin"/>
          </w:r>
          <w:r w:rsidR="00B10239">
            <w:instrText xml:space="preserve">CITATION Sta11 \n  \l 2057 </w:instrText>
          </w:r>
          <w:r w:rsidR="00B10239">
            <w:fldChar w:fldCharType="separate"/>
          </w:r>
          <w:r w:rsidR="00B10239" w:rsidRPr="00B10239">
            <w:rPr>
              <w:noProof/>
            </w:rPr>
            <w:t>(2011</w:t>
          </w:r>
          <w:r w:rsidR="00B10239" w:rsidRPr="00B10239">
            <w:rPr>
              <w:noProof/>
              <w:vertAlign w:val="subscript"/>
            </w:rPr>
            <w:t>[203]</w:t>
          </w:r>
          <w:r w:rsidR="00B10239" w:rsidRPr="00B10239">
            <w:rPr>
              <w:noProof/>
            </w:rPr>
            <w:t>)</w:t>
          </w:r>
          <w:r w:rsidR="00B10239">
            <w:fldChar w:fldCharType="end"/>
          </w:r>
        </w:sdtContent>
      </w:sdt>
      <w:r w:rsidR="00B10239">
        <w:t xml:space="preserve"> </w:t>
      </w:r>
      <w:r w:rsidRPr="00A00553">
        <w:t xml:space="preserve">guide to implementing the Aboriginal and Torres Strait Islander languages syllabus gives much detail on aspects schools </w:t>
      </w:r>
      <w:r>
        <w:t>should</w:t>
      </w:r>
      <w:r w:rsidRPr="00A00553">
        <w:t xml:space="preserve"> consult on with the language community when initiating an Indigenous language </w:t>
      </w:r>
      <w:r>
        <w:t>programme</w:t>
      </w:r>
      <w:r w:rsidRPr="00A00553">
        <w:t>. It proposes creating agreements i</w:t>
      </w:r>
      <w:r w:rsidR="00B10239">
        <w:t>n the form of documents called “</w:t>
      </w:r>
      <w:r w:rsidRPr="00A00553">
        <w:t>Community Models of Knowing</w:t>
      </w:r>
      <w:r w:rsidR="00B10239">
        <w:t>”</w:t>
      </w:r>
      <w:r w:rsidRPr="00A00553">
        <w:t>. These help schools to learn that not all aspects of Indigenous knowledges are available to everyone, as some knowledge is secret, or only for certain families or groups. This helps schools to maintain a respectful approach to Indigenous knowledges</w:t>
      </w:r>
      <w:r>
        <w:t>,</w:t>
      </w:r>
      <w:r w:rsidRPr="00A00553">
        <w:t xml:space="preserve"> which is essential for a strong school-community collaboration. </w:t>
      </w:r>
    </w:p>
    <w:p w14:paraId="3CECBAB9" w14:textId="79587096" w:rsidR="006145A3" w:rsidRDefault="00B10239" w:rsidP="006145A3">
      <w:pPr>
        <w:pStyle w:val="Para0"/>
      </w:pPr>
      <w:r>
        <w:t>“Co-ordinated Partnerships”</w:t>
      </w:r>
      <w:r w:rsidR="006145A3" w:rsidRPr="00A00553">
        <w:t xml:space="preserve"> are identified as a key strategy for the teaching of Indigenous languages and cultures in schools in another regional policy in Australia </w:t>
      </w:r>
      <w:sdt>
        <w:sdtPr>
          <w:id w:val="2134043441"/>
          <w:citation/>
        </w:sdtPr>
        <w:sdtEndPr/>
        <w:sdtContent>
          <w:r>
            <w:fldChar w:fldCharType="begin"/>
          </w:r>
          <w:r>
            <w:instrText xml:space="preserve"> CITATION Nor16 \l 2057 </w:instrText>
          </w:r>
          <w:r>
            <w:fldChar w:fldCharType="separate"/>
          </w:r>
          <w:r w:rsidRPr="00B10239">
            <w:rPr>
              <w:noProof/>
            </w:rPr>
            <w:t>(Northern Territory Board of Studies, 2016</w:t>
          </w:r>
          <w:r w:rsidRPr="00B10239">
            <w:rPr>
              <w:noProof/>
              <w:vertAlign w:val="subscript"/>
            </w:rPr>
            <w:t>[75]</w:t>
          </w:r>
          <w:r w:rsidRPr="00B10239">
            <w:rPr>
              <w:noProof/>
            </w:rPr>
            <w:t>)</w:t>
          </w:r>
          <w:r>
            <w:fldChar w:fldCharType="end"/>
          </w:r>
        </w:sdtContent>
      </w:sdt>
      <w:r w:rsidR="006145A3" w:rsidRPr="00A00553">
        <w:t>. Overall</w:t>
      </w:r>
      <w:r w:rsidR="006145A3">
        <w:t>,</w:t>
      </w:r>
      <w:r w:rsidR="006145A3" w:rsidRPr="00A00553">
        <w:t xml:space="preserve"> they emphasise the importance of Indigenous ownership of Indigenous language</w:t>
      </w:r>
      <w:r w:rsidR="006145A3">
        <w:t>s.</w:t>
      </w:r>
      <w:r w:rsidR="006145A3" w:rsidRPr="00A00553">
        <w:t xml:space="preserve"> </w:t>
      </w:r>
      <w:r w:rsidR="006145A3">
        <w:t>C</w:t>
      </w:r>
      <w:r w:rsidR="006145A3" w:rsidRPr="00A00553">
        <w:t xml:space="preserve">o-ordinated </w:t>
      </w:r>
      <w:r w:rsidR="006145A3">
        <w:lastRenderedPageBreak/>
        <w:t>P</w:t>
      </w:r>
      <w:r w:rsidR="006145A3" w:rsidRPr="00A00553">
        <w:t>artnerships propose that each school develops protocols to "ensure equity of voice for Indigenous Elders, community members and teachers".</w:t>
      </w:r>
    </w:p>
    <w:p w14:paraId="60C42EA3" w14:textId="166E71A5" w:rsidR="006145A3" w:rsidRPr="00A00553" w:rsidRDefault="006145A3" w:rsidP="006145A3">
      <w:pPr>
        <w:pStyle w:val="Para0"/>
      </w:pPr>
      <w:r w:rsidRPr="00A00553">
        <w:t>Four Indigenous languages are taught through the first language curriculum pathway at the school in Maningrida, a remote northern Australian Indigenous community. The programme has strong input from each language group. Their decision-making and leadership has supported the program</w:t>
      </w:r>
      <w:r>
        <w:t>me</w:t>
      </w:r>
      <w:r w:rsidRPr="00A00553">
        <w:t xml:space="preserve">: "The community and students have a very strong voice in shaping the Indigenous languages and culture program" (Scholes quoted in </w:t>
      </w:r>
      <w:sdt>
        <w:sdtPr>
          <w:id w:val="-1446072137"/>
          <w:citation/>
        </w:sdtPr>
        <w:sdtEndPr/>
        <w:sdtContent>
          <w:r w:rsidR="0040500E">
            <w:fldChar w:fldCharType="begin"/>
          </w:r>
          <w:r w:rsidR="0040500E">
            <w:instrText xml:space="preserve">CITATION Gov20 \l 2057 </w:instrText>
          </w:r>
          <w:r w:rsidR="0040500E">
            <w:fldChar w:fldCharType="separate"/>
          </w:r>
          <w:r w:rsidR="0040500E" w:rsidRPr="0040500E">
            <w:rPr>
              <w:noProof/>
            </w:rPr>
            <w:t>(</w:t>
          </w:r>
          <w:bookmarkStart w:id="288" w:name="Gov20_204"/>
          <w:r w:rsidR="0040500E" w:rsidRPr="0040500E">
            <w:rPr>
              <w:noProof/>
            </w:rPr>
            <w:t>Northern territory Government, 2020</w:t>
          </w:r>
          <w:r w:rsidR="0040500E" w:rsidRPr="0040500E">
            <w:rPr>
              <w:noProof/>
              <w:vertAlign w:val="subscript"/>
            </w:rPr>
            <w:t>[204]</w:t>
          </w:r>
          <w:r w:rsidR="0040500E" w:rsidRPr="0040500E">
            <w:rPr>
              <w:noProof/>
            </w:rPr>
            <w:t>)</w:t>
          </w:r>
          <w:bookmarkEnd w:id="288"/>
          <w:r w:rsidR="0040500E">
            <w:fldChar w:fldCharType="end"/>
          </w:r>
        </w:sdtContent>
      </w:sdt>
      <w:r w:rsidRPr="00A00553">
        <w:t xml:space="preserve">). Student surveys and planning workshops with Elders and community members are a key part of developing their </w:t>
      </w:r>
      <w:r>
        <w:t>programme</w:t>
      </w:r>
      <w:r w:rsidRPr="00A00553">
        <w:t xml:space="preserve">. </w:t>
      </w:r>
    </w:p>
    <w:p w14:paraId="613DFE7A" w14:textId="77777777" w:rsidR="006145A3" w:rsidRPr="00A00553" w:rsidRDefault="006145A3" w:rsidP="006145A3">
      <w:pPr>
        <w:pStyle w:val="Para0"/>
      </w:pPr>
      <w:r w:rsidRPr="00A00553">
        <w:t>Many Indigenous educators, languages teachers and community members highlight how Indigenous language programmes can provide a focus that facilitates respectful cooperative school-community partnerships.</w:t>
      </w:r>
    </w:p>
    <w:p w14:paraId="2258714D" w14:textId="77777777" w:rsidR="006145A3" w:rsidRPr="009B2047" w:rsidRDefault="006145A3" w:rsidP="006145A3">
      <w:pPr>
        <w:pStyle w:val="Heading2"/>
        <w:numPr>
          <w:ilvl w:val="1"/>
          <w:numId w:val="22"/>
        </w:numPr>
      </w:pPr>
      <w:bookmarkStart w:id="289" w:name="_Toc82093582"/>
      <w:bookmarkStart w:id="290" w:name="_Toc95824118"/>
      <w:r>
        <w:t xml:space="preserve">Wide </w:t>
      </w:r>
      <w:r w:rsidRPr="0042139F">
        <w:t>engagement</w:t>
      </w:r>
      <w:r>
        <w:t xml:space="preserve"> of Indigenous peoples</w:t>
      </w:r>
      <w:bookmarkEnd w:id="289"/>
      <w:bookmarkEnd w:id="290"/>
    </w:p>
    <w:p w14:paraId="35FF6ECA" w14:textId="77777777" w:rsidR="006145A3" w:rsidRPr="00F477C2" w:rsidRDefault="006145A3" w:rsidP="006145A3">
      <w:pPr>
        <w:pStyle w:val="Para0"/>
      </w:pPr>
      <w:r w:rsidRPr="00F477C2">
        <w:t>Indigenous language programmes engage Indigenous speakers, (mother tongue, second language learners, revivers and reawakeners) from many areas of work in the arts, digital media, care of land/seas (Indigenous rangers), tourism, interpreting and translating.</w:t>
      </w:r>
    </w:p>
    <w:p w14:paraId="234A10BA" w14:textId="77777777" w:rsidR="006145A3" w:rsidRPr="00852D94" w:rsidRDefault="006145A3" w:rsidP="006145A3">
      <w:pPr>
        <w:pStyle w:val="Heading3"/>
        <w:numPr>
          <w:ilvl w:val="2"/>
          <w:numId w:val="22"/>
        </w:numPr>
      </w:pPr>
      <w:r w:rsidRPr="00852D94">
        <w:t>School settings</w:t>
      </w:r>
    </w:p>
    <w:p w14:paraId="6B708523" w14:textId="0E0BC1AF" w:rsidR="006145A3" w:rsidRPr="00F477C2" w:rsidRDefault="006145A3" w:rsidP="006145A3">
      <w:pPr>
        <w:pStyle w:val="Para0"/>
      </w:pPr>
      <w:r w:rsidRPr="00F477C2">
        <w:t>Schools that officially teach an Indigenous language or use an Indigenous language as a medium of instruction, overtly value and employ Indigenous language speakers. The</w:t>
      </w:r>
      <w:r w:rsidR="0040500E">
        <w:t>se contexts require an ongoing “</w:t>
      </w:r>
      <w:r w:rsidRPr="00F477C2">
        <w:t>supply</w:t>
      </w:r>
      <w:r w:rsidR="0040500E">
        <w:t>”</w:t>
      </w:r>
      <w:r w:rsidRPr="00F477C2">
        <w:t>' of language speakers as teachers.</w:t>
      </w:r>
    </w:p>
    <w:p w14:paraId="56B07A30" w14:textId="77777777" w:rsidR="006145A3" w:rsidRPr="00F477C2" w:rsidRDefault="006145A3" w:rsidP="006145A3">
      <w:pPr>
        <w:pStyle w:val="Para0"/>
      </w:pPr>
      <w:r w:rsidRPr="00F477C2">
        <w:t>Language programmes also need language speakers who develop classroom teaching and learning resources, such as individuals or teams who are interested in literature production, media, IT, etc. This can involve a range of skill areas, from language literacy, editing, layout and design, illustrating, photography, music, computer and IT skills etc.</w:t>
      </w:r>
    </w:p>
    <w:p w14:paraId="4B4C619F" w14:textId="77777777" w:rsidR="006145A3" w:rsidRPr="00F477C2" w:rsidRDefault="006145A3" w:rsidP="006145A3">
      <w:pPr>
        <w:pStyle w:val="Para0"/>
      </w:pPr>
      <w:r w:rsidRPr="00F477C2">
        <w:t>In addition to employing Indigenous language speakers, schools provide staff with professional development, training and accreditation opportunities on many topics, potentially increasing Indigenous participation in many areas. For mother tongue speakers of Indigenous languages, this may serve to increase the level of their second language (the (inter-)national language), perhaps in specialised areas of administration or academia, or in their bilingual skills like interpreting or translating</w:t>
      </w:r>
      <w:r>
        <w:t>.</w:t>
      </w:r>
    </w:p>
    <w:p w14:paraId="4C49F6F7" w14:textId="77777777" w:rsidR="006145A3" w:rsidRPr="00852D94" w:rsidRDefault="006145A3" w:rsidP="006145A3">
      <w:pPr>
        <w:pStyle w:val="Heading3"/>
        <w:numPr>
          <w:ilvl w:val="2"/>
          <w:numId w:val="22"/>
        </w:numPr>
      </w:pPr>
      <w:r w:rsidRPr="0042139F">
        <w:t>Indigenous</w:t>
      </w:r>
      <w:r w:rsidRPr="00852D94">
        <w:t xml:space="preserve"> language teacher training</w:t>
      </w:r>
    </w:p>
    <w:p w14:paraId="4C943247" w14:textId="77777777" w:rsidR="006145A3" w:rsidRPr="00AE4361" w:rsidRDefault="006145A3" w:rsidP="006145A3">
      <w:pPr>
        <w:pStyle w:val="Para0"/>
      </w:pPr>
      <w:r w:rsidRPr="00AE4361">
        <w:t>Indigenous language teachers are integral to delivering Indigenous language programmes. Training and qualification pathways enable Indigenous people to take on all roles in language programmes.</w:t>
      </w:r>
    </w:p>
    <w:p w14:paraId="6C59B1BF" w14:textId="77777777" w:rsidR="006145A3" w:rsidRPr="00AE4361" w:rsidRDefault="006145A3" w:rsidP="006145A3">
      <w:pPr>
        <w:pStyle w:val="Para0"/>
      </w:pPr>
      <w:r w:rsidRPr="00AE4361">
        <w:t>Generalist teacher training is a common accreditation pathway for teachers of Indigenous languages. In some courses, a language specialisation is included (see Case Studies in this section itemised below). Many teachers of Indigenous languages have gained qualifications as general teachers and woven their own language interests into optional course components, into aspects of their pre-service practicals, or trained on-the-job subsequently, with varying levels of support.</w:t>
      </w:r>
    </w:p>
    <w:p w14:paraId="4804D210" w14:textId="77777777" w:rsidR="006145A3" w:rsidRPr="00AE4361" w:rsidRDefault="006145A3" w:rsidP="006145A3">
      <w:pPr>
        <w:pStyle w:val="Para0"/>
      </w:pPr>
      <w:r w:rsidRPr="00AE4361">
        <w:t xml:space="preserve">Some training and accreditation pathways have been developed to cater specifically for an Indigenous language teacher pathway: </w:t>
      </w:r>
    </w:p>
    <w:p w14:paraId="7BFB9C61" w14:textId="77777777" w:rsidR="006145A3" w:rsidRPr="0042139F" w:rsidRDefault="006145A3" w:rsidP="006145A3">
      <w:pPr>
        <w:pStyle w:val="BulletedList"/>
      </w:pPr>
      <w:r w:rsidRPr="0042139F">
        <w:t>Case Study 7-5 from Western Australia describes an undergraduate traineeship programme leading to limited teacher registration</w:t>
      </w:r>
    </w:p>
    <w:p w14:paraId="7EAB3D01" w14:textId="77777777" w:rsidR="006145A3" w:rsidRPr="0042139F" w:rsidRDefault="006145A3" w:rsidP="006145A3">
      <w:pPr>
        <w:pStyle w:val="BulletedList"/>
      </w:pPr>
      <w:r w:rsidRPr="0042139F">
        <w:lastRenderedPageBreak/>
        <w:t>Case Study 7-6 of the University of Victoria, Canada, is an example of a suite of Indigenous language credentials at different levels that can build into degrees, including language teaching qualifications</w:t>
      </w:r>
    </w:p>
    <w:p w14:paraId="0A5054AA" w14:textId="77777777" w:rsidR="006145A3" w:rsidRPr="0042139F" w:rsidRDefault="006145A3" w:rsidP="006145A3">
      <w:pPr>
        <w:pStyle w:val="BulletedList"/>
      </w:pPr>
      <w:r w:rsidRPr="0042139F">
        <w:t>Case Study 7 7 describes a post-graduate pathway from the University of Sydney, Australia, for qualified Indigenous teachers who have an interest in studying and teaching their language.</w:t>
      </w:r>
    </w:p>
    <w:p w14:paraId="46CCB6A1" w14:textId="77777777" w:rsidR="006145A3" w:rsidRPr="00AE4361" w:rsidRDefault="006145A3" w:rsidP="006145A3">
      <w:pPr>
        <w:pStyle w:val="Para0"/>
      </w:pPr>
      <w:r w:rsidRPr="00AE4361">
        <w:t xml:space="preserve">All jurisdictions and all programme types have experienced difficulties with providing qualified staff for Indigenous languages programmes: </w:t>
      </w:r>
    </w:p>
    <w:p w14:paraId="36871328" w14:textId="7D37B605" w:rsidR="006145A3" w:rsidRPr="0042139F" w:rsidRDefault="006145A3" w:rsidP="006145A3">
      <w:pPr>
        <w:pStyle w:val="BulletedList"/>
      </w:pPr>
      <w:r w:rsidRPr="0042139F">
        <w:t xml:space="preserve">Skutnabb-Kangas has drawn attention to the consequences in Nunavut of the lack of trained Inuit teachers who speak Inuktitut </w:t>
      </w:r>
      <w:sdt>
        <w:sdtPr>
          <w:id w:val="68086296"/>
          <w:citation/>
        </w:sdtPr>
        <w:sdtEndPr/>
        <w:sdtContent>
          <w:r w:rsidR="0040500E">
            <w:fldChar w:fldCharType="begin"/>
          </w:r>
          <w:r w:rsidR="0040500E">
            <w:instrText xml:space="preserve"> CITATION Sku19 \l 2057 </w:instrText>
          </w:r>
          <w:r w:rsidR="0040500E">
            <w:fldChar w:fldCharType="separate"/>
          </w:r>
          <w:r w:rsidR="0040500E" w:rsidRPr="0040500E">
            <w:rPr>
              <w:noProof/>
            </w:rPr>
            <w:t>(</w:t>
          </w:r>
          <w:bookmarkStart w:id="291" w:name="Sku19_205"/>
          <w:r w:rsidR="0040500E" w:rsidRPr="0040500E">
            <w:rPr>
              <w:noProof/>
            </w:rPr>
            <w:t>Skutnabb-Kangas, Phillipson and Dunbar, 2019</w:t>
          </w:r>
          <w:r w:rsidR="0040500E" w:rsidRPr="0040500E">
            <w:rPr>
              <w:noProof/>
              <w:vertAlign w:val="subscript"/>
            </w:rPr>
            <w:t>[205]</w:t>
          </w:r>
          <w:r w:rsidR="0040500E" w:rsidRPr="0040500E">
            <w:rPr>
              <w:noProof/>
            </w:rPr>
            <w:t>)</w:t>
          </w:r>
          <w:bookmarkEnd w:id="291"/>
          <w:r w:rsidR="0040500E">
            <w:fldChar w:fldCharType="end"/>
          </w:r>
        </w:sdtContent>
      </w:sdt>
      <w:r w:rsidRPr="0042139F">
        <w:t>. A shortage of truly bilingual teachers to meet bilingual schooling aspirations in Nunavut is exacerbated by the standards of entry to teacher education relying on higher school exit qualifications and not on fluency in Inuktitut.</w:t>
      </w:r>
    </w:p>
    <w:p w14:paraId="76F6C91C" w14:textId="240CA5C0" w:rsidR="006145A3" w:rsidRPr="0042139F" w:rsidRDefault="006145A3" w:rsidP="006145A3">
      <w:pPr>
        <w:pStyle w:val="BulletedList"/>
      </w:pPr>
      <w:r w:rsidRPr="0042139F">
        <w:t xml:space="preserve">Teacher training for remote Indigenous communities needs targeted funding for local tutors, in-community study areas, travel to a central location for blocks of lectures etc., and specialist curriculum or accommodations for adult learners of the national language. Support for Indigenous people to train and become qualified as teachers has been consistent in Queensland (RATEP – Remote Area Teacher Education Program), with formal agreements of support between Queensland's Education Department and providers of Technical and Further Education (TAFE) and James Cook University for the academic pathway </w:t>
      </w:r>
      <w:sdt>
        <w:sdtPr>
          <w:id w:val="21139532"/>
          <w:citation/>
        </w:sdtPr>
        <w:sdtEndPr/>
        <w:sdtContent>
          <w:r w:rsidR="0040500E">
            <w:fldChar w:fldCharType="begin"/>
          </w:r>
          <w:r w:rsidR="0040500E">
            <w:instrText xml:space="preserve"> CITATION Fir181 \l 2057 </w:instrText>
          </w:r>
          <w:r w:rsidR="0040500E">
            <w:fldChar w:fldCharType="separate"/>
          </w:r>
          <w:r w:rsidR="0040500E" w:rsidRPr="0040500E">
            <w:rPr>
              <w:noProof/>
            </w:rPr>
            <w:t>(First Languages Australia, 2018</w:t>
          </w:r>
          <w:r w:rsidR="0040500E" w:rsidRPr="0040500E">
            <w:rPr>
              <w:noProof/>
              <w:vertAlign w:val="subscript"/>
            </w:rPr>
            <w:t>[78]</w:t>
          </w:r>
          <w:r w:rsidR="0040500E" w:rsidRPr="0040500E">
            <w:rPr>
              <w:noProof/>
            </w:rPr>
            <w:t>)</w:t>
          </w:r>
          <w:r w:rsidR="0040500E">
            <w:fldChar w:fldCharType="end"/>
          </w:r>
        </w:sdtContent>
      </w:sdt>
      <w:r w:rsidRPr="0042139F">
        <w:t>.</w:t>
      </w:r>
    </w:p>
    <w:p w14:paraId="748E205E" w14:textId="77777777" w:rsidR="006145A3" w:rsidRPr="0042139F" w:rsidRDefault="006145A3" w:rsidP="006145A3">
      <w:pPr>
        <w:pStyle w:val="BulletedList"/>
      </w:pPr>
      <w:r w:rsidRPr="0042139F">
        <w:t>Indigenous language teacher accreditation, registration and remuneration need to be facilitated as training courses may not dovetail with state, territory or national teacher standards (see Case Study 7-5 for an example pathway)</w:t>
      </w:r>
    </w:p>
    <w:p w14:paraId="0B7CB741" w14:textId="6BAF92E6" w:rsidR="006145A3" w:rsidRPr="0042139F" w:rsidRDefault="0040500E" w:rsidP="006145A3">
      <w:pPr>
        <w:pStyle w:val="BulletedList"/>
      </w:pPr>
      <w:r>
        <w:t>“</w:t>
      </w:r>
      <w:r w:rsidR="00DC1469">
        <w:t>P</w:t>
      </w:r>
      <w:r w:rsidR="006145A3" w:rsidRPr="0042139F">
        <w:t>ools</w:t>
      </w:r>
      <w:r>
        <w:t>”</w:t>
      </w:r>
      <w:r w:rsidR="006145A3" w:rsidRPr="0042139F">
        <w:t xml:space="preserve"> of more confident Indigenous language speakers who might then consider a role as an Indigenous language teacher. Thus, there is a need for in-community, adult language learning programmes (see Case Study 7-6 for an example pathway).</w:t>
      </w:r>
    </w:p>
    <w:p w14:paraId="4A8EEAE4" w14:textId="77777777" w:rsidR="006145A3" w:rsidRPr="0042139F" w:rsidRDefault="006145A3" w:rsidP="006145A3">
      <w:pPr>
        <w:pStyle w:val="BulletedList"/>
      </w:pPr>
      <w:r w:rsidRPr="0042139F">
        <w:t>Collaborative partnerships can support Indigenous language teaching. Schools, relevant Indigenous organisations and tertiary institutions can potentially share costs, resources and expertise for developing and delivering training, in-service professional learning and development of curriculum and teaching and learning resources/curriculum (see Case Study 7- 6 for example collaborations).</w:t>
      </w:r>
    </w:p>
    <w:p w14:paraId="67D60218" w14:textId="702172BB" w:rsidR="006145A3" w:rsidRPr="0042139F" w:rsidRDefault="006145A3" w:rsidP="006145A3">
      <w:pPr>
        <w:pStyle w:val="BulletedList"/>
      </w:pPr>
      <w:r w:rsidRPr="0042139F">
        <w:t xml:space="preserve">Retention of specialist Indigenous languages teachers in demanding roles can be challenging. More than half the newly graduated Māori teachers entering Māori medium school settings encountered difficulties </w:t>
      </w:r>
      <w:sdt>
        <w:sdtPr>
          <w:id w:val="572473084"/>
          <w:citation/>
        </w:sdtPr>
        <w:sdtEndPr/>
        <w:sdtContent>
          <w:r w:rsidR="0040500E">
            <w:fldChar w:fldCharType="begin"/>
          </w:r>
          <w:r w:rsidR="0040500E">
            <w:instrText xml:space="preserve"> CITATION Mao12 \l 2057  \m Ogi12 \m Wei18</w:instrText>
          </w:r>
          <w:r w:rsidR="0040500E">
            <w:fldChar w:fldCharType="separate"/>
          </w:r>
          <w:bookmarkStart w:id="292" w:name="Ogi12_207"/>
          <w:bookmarkStart w:id="293" w:name="Wei18_208"/>
          <w:r w:rsidR="0040500E" w:rsidRPr="0040500E">
            <w:rPr>
              <w:noProof/>
            </w:rPr>
            <w:t>(</w:t>
          </w:r>
          <w:bookmarkStart w:id="294" w:name="Mao12_206"/>
          <w:r w:rsidR="0040500E" w:rsidRPr="0040500E">
            <w:rPr>
              <w:noProof/>
            </w:rPr>
            <w:t>Māori Medium Workforce Reference Group, 2012</w:t>
          </w:r>
          <w:r w:rsidR="0040500E" w:rsidRPr="0040500E">
            <w:rPr>
              <w:noProof/>
              <w:vertAlign w:val="subscript"/>
            </w:rPr>
            <w:t>[206]</w:t>
          </w:r>
          <w:r w:rsidR="0040500E" w:rsidRPr="0040500E">
            <w:rPr>
              <w:noProof/>
            </w:rPr>
            <w:t xml:space="preserve">; </w:t>
          </w:r>
          <w:bookmarkEnd w:id="294"/>
          <w:r w:rsidR="0040500E" w:rsidRPr="0040500E">
            <w:rPr>
              <w:noProof/>
            </w:rPr>
            <w:t>Ogivly, 2012</w:t>
          </w:r>
          <w:r w:rsidR="0040500E" w:rsidRPr="0040500E">
            <w:rPr>
              <w:noProof/>
              <w:vertAlign w:val="subscript"/>
            </w:rPr>
            <w:t>[207]</w:t>
          </w:r>
          <w:r w:rsidR="0040500E" w:rsidRPr="0040500E">
            <w:rPr>
              <w:noProof/>
            </w:rPr>
            <w:t>; Weihipeipahana, Paipa and Smith, 2018</w:t>
          </w:r>
          <w:r w:rsidR="0040500E" w:rsidRPr="0040500E">
            <w:rPr>
              <w:noProof/>
              <w:vertAlign w:val="subscript"/>
            </w:rPr>
            <w:t>[208]</w:t>
          </w:r>
          <w:r w:rsidR="0040500E" w:rsidRPr="0040500E">
            <w:rPr>
              <w:noProof/>
            </w:rPr>
            <w:t>)</w:t>
          </w:r>
          <w:bookmarkEnd w:id="292"/>
          <w:bookmarkEnd w:id="293"/>
          <w:r w:rsidR="0040500E">
            <w:fldChar w:fldCharType="end"/>
          </w:r>
        </w:sdtContent>
      </w:sdt>
      <w:r w:rsidRPr="0042139F">
        <w:t>.</w:t>
      </w:r>
    </w:p>
    <w:tbl>
      <w:tblPr>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AF3336" w:rsidRPr="00E2226B" w14:paraId="1D99FA2E" w14:textId="77777777" w:rsidTr="00307F9E">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0F6ACCEC" w14:textId="1AE44682" w:rsidR="00AF3336" w:rsidRDefault="00AF3336" w:rsidP="00307F9E">
            <w:pPr>
              <w:pStyle w:val="Caption"/>
            </w:pPr>
            <w:r w:rsidRPr="00B44A50">
              <w:lastRenderedPageBreak/>
              <w:t>Box</w:t>
            </w:r>
            <w:r>
              <w:t> </w:t>
            </w:r>
            <w:r>
              <w:rPr>
                <w:noProof/>
              </w:rPr>
              <w:fldChar w:fldCharType="begin"/>
            </w:r>
            <w:r>
              <w:rPr>
                <w:noProof/>
              </w:rPr>
              <w:instrText xml:space="preserve"> STYLEREF 1 \s </w:instrText>
            </w:r>
            <w:r>
              <w:rPr>
                <w:noProof/>
              </w:rPr>
              <w:fldChar w:fldCharType="separate"/>
            </w:r>
            <w:r w:rsidR="00CA5B8D">
              <w:rPr>
                <w:noProof/>
              </w:rPr>
              <w:t>7</w:t>
            </w:r>
            <w:r>
              <w:rPr>
                <w:noProof/>
              </w:rPr>
              <w:fldChar w:fldCharType="end"/>
            </w:r>
            <w:r>
              <w:t>.</w:t>
            </w:r>
            <w:r>
              <w:rPr>
                <w:noProof/>
              </w:rPr>
              <w:fldChar w:fldCharType="begin"/>
            </w:r>
            <w:r>
              <w:rPr>
                <w:noProof/>
              </w:rPr>
              <w:instrText xml:space="preserve"> SEQ Box \* ARABIC \s 1 </w:instrText>
            </w:r>
            <w:r>
              <w:rPr>
                <w:noProof/>
              </w:rPr>
              <w:fldChar w:fldCharType="separate"/>
            </w:r>
            <w:r w:rsidR="00CA5B8D">
              <w:rPr>
                <w:noProof/>
              </w:rPr>
              <w:t>5</w:t>
            </w:r>
            <w:r>
              <w:rPr>
                <w:noProof/>
              </w:rPr>
              <w:fldChar w:fldCharType="end"/>
            </w:r>
            <w:r>
              <w:t xml:space="preserve">. </w:t>
            </w:r>
            <w:r w:rsidRPr="00AF3336">
              <w:t>Traineeship model for Indigenous language teachers, Western Australia</w:t>
            </w:r>
          </w:p>
          <w:p w14:paraId="5B2F71E9" w14:textId="30AB1F53" w:rsidR="00AF3336" w:rsidRDefault="00AF3336" w:rsidP="00AF3336">
            <w:pPr>
              <w:pStyle w:val="Para0"/>
            </w:pPr>
            <w:r>
              <w:t xml:space="preserve">For over 20 years, the state Western Australian Education Department has run a three-year traineeship programme for Aboriginal people wishing to become language teachers. The Education Department has dedicated two staff to develop and deliver the training component and covers all costs for the participants. The Aboriginal participants must have the support of a school and a teacher/mentor who they will co-teach with throughout their training, as well as a community language mentor with whom they will co-develop language content and teaching resources. </w:t>
            </w:r>
          </w:p>
          <w:p w14:paraId="4631D89A" w14:textId="73FD57D2" w:rsidR="00AF3336" w:rsidRDefault="00AF3336" w:rsidP="00AF3336">
            <w:pPr>
              <w:pStyle w:val="Para0"/>
            </w:pPr>
            <w:r>
              <w:t xml:space="preserve">The programme focuses on practical language teaching skills for the classroom. The training runs over two years and includes four one-week 'block-release' intensive training sessions to which all participants travel. After the block intensive, trainees return to their school and co-deliver lessons based on the resources and skills they have developed during the block. This post block teaching experience forms the basis of the assignments which participants are required to complete. </w:t>
            </w:r>
          </w:p>
          <w:p w14:paraId="68E468EB" w14:textId="3A66725F" w:rsidR="00AF3336" w:rsidRPr="00775FF9" w:rsidRDefault="00AF3336" w:rsidP="00AF3336">
            <w:pPr>
              <w:pStyle w:val="Para0"/>
            </w:pPr>
            <w:r>
              <w:t>After their training, participants complete one year of teaching probation, after which they are eligible to apply to the teacher registration board for “Limited Registration”. This classification allows them to work as qualified teachers, but only as language teachers. They are paid as graduate teachers and have the same conditions. To gain full teacher registration or to embark on professional promotional pathways, however, Aboriginal languages teachers (with Limited Registration) would need to complete further studies, such as an undergraduate teaching degree</w:t>
            </w:r>
          </w:p>
        </w:tc>
      </w:tr>
    </w:tbl>
    <w:p w14:paraId="181B47AF" w14:textId="34590C0D" w:rsidR="006145A3" w:rsidRDefault="006145A3" w:rsidP="006145A3">
      <w:pPr>
        <w:pStyle w:val="Para0"/>
        <w:rPr>
          <w:rFonts w:ascii="Times New Roman" w:hAnsi="Times New Roman" w:cs="Times New Roman"/>
        </w:rPr>
      </w:pPr>
    </w:p>
    <w:tbl>
      <w:tblPr>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AF3336" w:rsidRPr="00E2226B" w14:paraId="26189EF3" w14:textId="77777777" w:rsidTr="00307F9E">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780D74CF" w14:textId="2390DA48" w:rsidR="00AF3336" w:rsidRDefault="00AF3336" w:rsidP="00307F9E">
            <w:pPr>
              <w:pStyle w:val="Caption"/>
            </w:pPr>
            <w:r w:rsidRPr="00B44A50">
              <w:lastRenderedPageBreak/>
              <w:t>Box</w:t>
            </w:r>
            <w:r>
              <w:t> </w:t>
            </w:r>
            <w:r>
              <w:rPr>
                <w:noProof/>
              </w:rPr>
              <w:fldChar w:fldCharType="begin"/>
            </w:r>
            <w:r>
              <w:rPr>
                <w:noProof/>
              </w:rPr>
              <w:instrText xml:space="preserve"> STYLEREF 1 \s </w:instrText>
            </w:r>
            <w:r>
              <w:rPr>
                <w:noProof/>
              </w:rPr>
              <w:fldChar w:fldCharType="separate"/>
            </w:r>
            <w:r w:rsidR="00CA5B8D">
              <w:rPr>
                <w:noProof/>
              </w:rPr>
              <w:t>7</w:t>
            </w:r>
            <w:r>
              <w:rPr>
                <w:noProof/>
              </w:rPr>
              <w:fldChar w:fldCharType="end"/>
            </w:r>
            <w:r>
              <w:t>.</w:t>
            </w:r>
            <w:r>
              <w:rPr>
                <w:noProof/>
              </w:rPr>
              <w:fldChar w:fldCharType="begin"/>
            </w:r>
            <w:r>
              <w:rPr>
                <w:noProof/>
              </w:rPr>
              <w:instrText xml:space="preserve"> SEQ Box \* ARABIC \s 1 </w:instrText>
            </w:r>
            <w:r>
              <w:rPr>
                <w:noProof/>
              </w:rPr>
              <w:fldChar w:fldCharType="separate"/>
            </w:r>
            <w:r w:rsidR="00CA5B8D">
              <w:rPr>
                <w:noProof/>
              </w:rPr>
              <w:t>6</w:t>
            </w:r>
            <w:r>
              <w:rPr>
                <w:noProof/>
              </w:rPr>
              <w:fldChar w:fldCharType="end"/>
            </w:r>
            <w:r>
              <w:t xml:space="preserve">. </w:t>
            </w:r>
            <w:r w:rsidRPr="00AF3336">
              <w:t>Laddered qualification pathway, University of Victoria, Canada</w:t>
            </w:r>
          </w:p>
          <w:p w14:paraId="6046366E" w14:textId="333C7355" w:rsidR="00AF3336" w:rsidRPr="00AF3336" w:rsidRDefault="00AF3336" w:rsidP="00AF3336">
            <w:pPr>
              <w:pStyle w:val="Para0"/>
            </w:pPr>
            <w:r w:rsidRPr="00AF3336">
              <w:t xml:space="preserve">The University Of Victoria in British Columbia has a ‘laddered’ pathway for learning and qualification in Aboriginal Languages Revitalisation. The programmes target candidates working with Indigenous communities in the revitalisation and teaching of Indigenous languages, or with organisations involved in developing and delivering language and cultural revitalisation policies and programmes </w:t>
            </w:r>
            <w:sdt>
              <w:sdtPr>
                <w:id w:val="1230109600"/>
                <w:citation/>
              </w:sdtPr>
              <w:sdtEndPr/>
              <w:sdtContent>
                <w:r w:rsidR="00596BDF">
                  <w:fldChar w:fldCharType="begin"/>
                </w:r>
                <w:r w:rsidR="00792E07">
                  <w:instrText xml:space="preserve">CITATION Cza17 \m deF13 \l 2057 </w:instrText>
                </w:r>
                <w:r w:rsidR="00596BDF">
                  <w:fldChar w:fldCharType="separate"/>
                </w:r>
                <w:bookmarkStart w:id="295" w:name="deF13_210"/>
                <w:r w:rsidR="00792E07" w:rsidRPr="00792E07">
                  <w:rPr>
                    <w:noProof/>
                  </w:rPr>
                  <w:t>(Czaykowska-Higgins et al., 2017</w:t>
                </w:r>
                <w:r w:rsidR="00792E07" w:rsidRPr="00792E07">
                  <w:rPr>
                    <w:noProof/>
                    <w:vertAlign w:val="subscript"/>
                  </w:rPr>
                  <w:t>[209]</w:t>
                </w:r>
                <w:r w:rsidR="00792E07" w:rsidRPr="00792E07">
                  <w:rPr>
                    <w:noProof/>
                  </w:rPr>
                  <w:t>; de France, 2013</w:t>
                </w:r>
                <w:r w:rsidR="00792E07" w:rsidRPr="00792E07">
                  <w:rPr>
                    <w:noProof/>
                    <w:vertAlign w:val="subscript"/>
                  </w:rPr>
                  <w:t>[210]</w:t>
                </w:r>
                <w:r w:rsidR="00792E07" w:rsidRPr="00792E07">
                  <w:rPr>
                    <w:noProof/>
                  </w:rPr>
                  <w:t>)</w:t>
                </w:r>
                <w:bookmarkEnd w:id="295"/>
                <w:r w:rsidR="00596BDF">
                  <w:fldChar w:fldCharType="end"/>
                </w:r>
              </w:sdtContent>
            </w:sdt>
            <w:r w:rsidR="00596BDF">
              <w:t xml:space="preserve">, </w:t>
            </w:r>
            <w:r w:rsidRPr="00AF3336">
              <w:t xml:space="preserve">see UVic websites below). </w:t>
            </w:r>
          </w:p>
          <w:p w14:paraId="00A3020A" w14:textId="77777777" w:rsidR="00AF3336" w:rsidRPr="00AF3336" w:rsidRDefault="00AF3336" w:rsidP="00AF3336">
            <w:pPr>
              <w:pStyle w:val="Para0"/>
            </w:pPr>
            <w:r w:rsidRPr="00AF3336">
              <w:t xml:space="preserve">The ladder begins with two Certificate level programmes. The Certificate in Indigenous Language Revitalization, through the Department of Linguistics and the Division of Continuing Studies, in partnership with the En'owkin Centre (governed by the Okanagan Indian Educational Resources Society) is a one-year, flexible delivery programme offered in partnership between the University and Indigenous nations, communities and organisations. The focus at this level is on understanding the dynamics of language loss, maintenance, and recovery. The Certificate is an exit point, or a basis for further study in linguistics, education, and/or cultural resource management. The Indigenous Education Department also offers a Certificate in Indigenous Language Proficiency. Designed to build proficiency in a specific Indigenous language, it is delivered when there is a cohort of students and a community partnership.  </w:t>
            </w:r>
          </w:p>
          <w:p w14:paraId="0891F894" w14:textId="77777777" w:rsidR="00AF3336" w:rsidRPr="00AF3336" w:rsidRDefault="00AF3336" w:rsidP="00AF3336">
            <w:pPr>
              <w:pStyle w:val="Para0"/>
            </w:pPr>
            <w:r w:rsidRPr="00AF3336">
              <w:t>The Certificate level programmes can lead to the Diploma in Indigenous Language Revitalization. In this one-year programme, participants build on their Indigenous language proficiency, consider factors promoting successful teaching of Indigenous languages, and gain some language teaching skills. The Diploma is another exit point, or the basis for pursuing a Bachelor of Education, with eligibility for Professional Teaching Certification.</w:t>
            </w:r>
          </w:p>
          <w:p w14:paraId="62F9E90E" w14:textId="2AF5781E" w:rsidR="00AF3336" w:rsidRPr="00AF3336" w:rsidRDefault="00AF3336" w:rsidP="00AF3336">
            <w:pPr>
              <w:pStyle w:val="Para0"/>
            </w:pPr>
            <w:r w:rsidRPr="00AF3336">
              <w:t xml:space="preserve">Bachelor of Education in Indigenous Language Revitalization builds on the Diploma programme, with courses over two years from education, linguistics together with own language learning. The Bachelors programme includes community-based courses in the Summer Institute on Indigenous Education. "The experiential nature of these courses allows the learners to 'live and breathe' the local Aboriginal cultures by participating in community events, learning from master carvers or language leaders, from Elders, from community members, and from direct exposure to some traditional practices such as carving, singing, and the preparation of Traditional foods" </w:t>
            </w:r>
            <w:sdt>
              <w:sdtPr>
                <w:id w:val="812290171"/>
                <w:citation/>
              </w:sdtPr>
              <w:sdtEndPr/>
              <w:sdtContent>
                <w:r w:rsidR="00792E07">
                  <w:fldChar w:fldCharType="begin"/>
                </w:r>
                <w:r w:rsidR="00792E07">
                  <w:instrText xml:space="preserve">CITATION deF13 \l 2057 </w:instrText>
                </w:r>
                <w:r w:rsidR="00792E07">
                  <w:fldChar w:fldCharType="separate"/>
                </w:r>
                <w:r w:rsidR="00792E07" w:rsidRPr="00792E07">
                  <w:rPr>
                    <w:noProof/>
                  </w:rPr>
                  <w:t>(de France, 2013</w:t>
                </w:r>
                <w:r w:rsidR="00792E07" w:rsidRPr="00792E07">
                  <w:rPr>
                    <w:noProof/>
                    <w:vertAlign w:val="subscript"/>
                  </w:rPr>
                  <w:t>[210]</w:t>
                </w:r>
                <w:r w:rsidR="00792E07" w:rsidRPr="00792E07">
                  <w:rPr>
                    <w:noProof/>
                  </w:rPr>
                  <w:t>)</w:t>
                </w:r>
                <w:r w:rsidR="00792E07">
                  <w:fldChar w:fldCharType="end"/>
                </w:r>
              </w:sdtContent>
            </w:sdt>
            <w:r w:rsidRPr="00AF3336">
              <w:t>. Graduate Certificate and Masters levels programmes are also offered, made up of courses in the Summer Institute and other pathways in the Indigenous Language Revitalisation Programme (see UVic link below).</w:t>
            </w:r>
          </w:p>
          <w:p w14:paraId="286EB8A2" w14:textId="05BF02F7" w:rsidR="00AF3336" w:rsidRPr="00AF3336" w:rsidRDefault="00AF3336" w:rsidP="00AF3336">
            <w:pPr>
              <w:pStyle w:val="Para0"/>
            </w:pPr>
            <w:r w:rsidRPr="00AF3336">
              <w:t xml:space="preserve">A recent innovation at the University of Victoria is the development of an Indigenous Language Teachers' Package </w:t>
            </w:r>
            <w:sdt>
              <w:sdtPr>
                <w:id w:val="2111933571"/>
                <w:citation/>
              </w:sdtPr>
              <w:sdtEndPr/>
              <w:sdtContent>
                <w:r w:rsidR="00792E07">
                  <w:fldChar w:fldCharType="begin"/>
                </w:r>
                <w:r w:rsidR="00792E07">
                  <w:instrText xml:space="preserve"> CITATION Cza17 \l 2057 </w:instrText>
                </w:r>
                <w:r w:rsidR="00792E07">
                  <w:fldChar w:fldCharType="separate"/>
                </w:r>
                <w:r w:rsidR="00792E07" w:rsidRPr="00792E07">
                  <w:rPr>
                    <w:noProof/>
                  </w:rPr>
                  <w:t>(</w:t>
                </w:r>
                <w:bookmarkStart w:id="296" w:name="Cza17_209"/>
                <w:r w:rsidR="00792E07" w:rsidRPr="00792E07">
                  <w:rPr>
                    <w:noProof/>
                  </w:rPr>
                  <w:t>Czaykowska-Higgins et al., 2017</w:t>
                </w:r>
                <w:r w:rsidR="00792E07" w:rsidRPr="00792E07">
                  <w:rPr>
                    <w:noProof/>
                    <w:vertAlign w:val="subscript"/>
                  </w:rPr>
                  <w:t>[209]</w:t>
                </w:r>
                <w:r w:rsidR="00792E07" w:rsidRPr="00792E07">
                  <w:rPr>
                    <w:noProof/>
                  </w:rPr>
                  <w:t>)</w:t>
                </w:r>
                <w:bookmarkEnd w:id="296"/>
                <w:r w:rsidR="00792E07">
                  <w:fldChar w:fldCharType="end"/>
                </w:r>
              </w:sdtContent>
            </w:sdt>
            <w:r w:rsidRPr="00AF3336">
              <w:t xml:space="preserve">. </w:t>
            </w:r>
          </w:p>
          <w:p w14:paraId="3AADE848" w14:textId="77777777" w:rsidR="00AF3336" w:rsidRPr="00AF3336" w:rsidRDefault="00AF3336" w:rsidP="00AF3336">
            <w:pPr>
              <w:pStyle w:val="Para0"/>
            </w:pPr>
            <w:r w:rsidRPr="00AF3336">
              <w:t xml:space="preserve">Comprised of four components, the Package is for teachers of languages to adult learners in 'post-secondary level teaching contexts', such as community programmes, adult learning institutions and the university. The four components are: </w:t>
            </w:r>
          </w:p>
          <w:p w14:paraId="3CB4EC4C" w14:textId="128DA19F" w:rsidR="00AF3336" w:rsidRPr="00AF3336" w:rsidRDefault="00AF3336" w:rsidP="00AF3336">
            <w:pPr>
              <w:pStyle w:val="BulletedList"/>
            </w:pPr>
            <w:r w:rsidRPr="00AF3336">
              <w:t xml:space="preserve">Teachers' Guide: This contains practical advice for teachers instructing for the first time at the post-secondary level, with sections on how to create learning outcomes and lesson plans, work with Elder speakers, and understand students' learning styles. It also provides support around technical elements </w:t>
            </w:r>
            <w:r w:rsidR="00792E07">
              <w:t>of working with an institution.</w:t>
            </w:r>
          </w:p>
          <w:p w14:paraId="03D9E6CC" w14:textId="77777777" w:rsidR="00AF3336" w:rsidRPr="00AF3336" w:rsidRDefault="00AF3336" w:rsidP="00AF3336">
            <w:pPr>
              <w:pStyle w:val="BulletedList"/>
            </w:pPr>
            <w:r w:rsidRPr="00AF3336">
              <w:t xml:space="preserve">Class Activities: These are a collection of sample classroom activities related to the materials in the Scope and Sequence covered by the Course Shells (below). </w:t>
            </w:r>
          </w:p>
          <w:p w14:paraId="5977C2A6" w14:textId="77777777" w:rsidR="00AF3336" w:rsidRPr="00AF3336" w:rsidRDefault="00AF3336" w:rsidP="00AF3336">
            <w:pPr>
              <w:pStyle w:val="BulletedList"/>
            </w:pPr>
            <w:r w:rsidRPr="00AF3336">
              <w:t>Feedback and Assessment: Introduces assessment, a collection of sample grading rubrics, grading guidelines, and ideas for providing feedback to students. These include example self-assessment tools as well as teacher-led assessment.</w:t>
            </w:r>
          </w:p>
          <w:p w14:paraId="0A8186AF" w14:textId="1B99DF45" w:rsidR="00AF3336" w:rsidRPr="00775FF9" w:rsidRDefault="00AF3336" w:rsidP="00792E07">
            <w:pPr>
              <w:pStyle w:val="Para0"/>
            </w:pPr>
            <w:r w:rsidRPr="00852D94">
              <w:rPr>
                <w:bCs/>
              </w:rPr>
              <w:lastRenderedPageBreak/>
              <w:t>Course Shells</w:t>
            </w:r>
            <w:r w:rsidRPr="00852D94">
              <w:t>: Scope and Sequence documents for the four levels of language courses, leading a potential instructor from themed unit to themed unit week-by-week, and suggesting outcomes, general communicative tasks associated with each outcome, and appropriate forms of feedback. They suggest sample sets of phrases to use week-by-week (in English, for preparation in target language by the instructor). The themed units link to examples in the Class Activities and Feedback sections</w:t>
            </w:r>
            <w:r>
              <w:t xml:space="preserve"> </w:t>
            </w:r>
            <w:sdt>
              <w:sdtPr>
                <w:id w:val="1234815731"/>
                <w:citation/>
              </w:sdtPr>
              <w:sdtEndPr/>
              <w:sdtContent>
                <w:r w:rsidR="00792E07">
                  <w:fldChar w:fldCharType="begin"/>
                </w:r>
                <w:r w:rsidR="00792E07">
                  <w:instrText xml:space="preserve"> CITATION Cza17 \l 2057 </w:instrText>
                </w:r>
                <w:r w:rsidR="00792E07">
                  <w:fldChar w:fldCharType="separate"/>
                </w:r>
                <w:r w:rsidR="00792E07" w:rsidRPr="00792E07">
                  <w:rPr>
                    <w:noProof/>
                  </w:rPr>
                  <w:t>(Czaykowska-Higgins et al., 2017</w:t>
                </w:r>
                <w:r w:rsidR="00792E07" w:rsidRPr="00792E07">
                  <w:rPr>
                    <w:noProof/>
                    <w:vertAlign w:val="subscript"/>
                  </w:rPr>
                  <w:t>[209]</w:t>
                </w:r>
                <w:r w:rsidR="00792E07" w:rsidRPr="00792E07">
                  <w:rPr>
                    <w:noProof/>
                  </w:rPr>
                  <w:t>)</w:t>
                </w:r>
                <w:r w:rsidR="00792E07">
                  <w:fldChar w:fldCharType="end"/>
                </w:r>
              </w:sdtContent>
            </w:sdt>
            <w:r>
              <w:t>.</w:t>
            </w:r>
          </w:p>
        </w:tc>
      </w:tr>
    </w:tbl>
    <w:p w14:paraId="573030E1" w14:textId="5EB7E41D" w:rsidR="00AF3336" w:rsidRDefault="00AF3336" w:rsidP="006145A3">
      <w:pPr>
        <w:pStyle w:val="Para0"/>
        <w:rPr>
          <w:rFonts w:ascii="Times New Roman" w:hAnsi="Times New Roman" w:cs="Times New Roman"/>
        </w:rPr>
      </w:pPr>
    </w:p>
    <w:tbl>
      <w:tblPr>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792E07" w:rsidRPr="00E2226B" w14:paraId="412A9461" w14:textId="77777777" w:rsidTr="00307F9E">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0F4C515F" w14:textId="0285FC28" w:rsidR="00792E07" w:rsidRDefault="00792E07" w:rsidP="00307F9E">
            <w:pPr>
              <w:pStyle w:val="Caption"/>
            </w:pPr>
            <w:r w:rsidRPr="00B44A50">
              <w:t>Box</w:t>
            </w:r>
            <w:r>
              <w:t> </w:t>
            </w:r>
            <w:r>
              <w:rPr>
                <w:noProof/>
              </w:rPr>
              <w:fldChar w:fldCharType="begin"/>
            </w:r>
            <w:r>
              <w:rPr>
                <w:noProof/>
              </w:rPr>
              <w:instrText xml:space="preserve"> STYLEREF 1 \s </w:instrText>
            </w:r>
            <w:r>
              <w:rPr>
                <w:noProof/>
              </w:rPr>
              <w:fldChar w:fldCharType="separate"/>
            </w:r>
            <w:r w:rsidR="00CA5B8D">
              <w:rPr>
                <w:noProof/>
              </w:rPr>
              <w:t>7</w:t>
            </w:r>
            <w:r>
              <w:rPr>
                <w:noProof/>
              </w:rPr>
              <w:fldChar w:fldCharType="end"/>
            </w:r>
            <w:r>
              <w:t>.</w:t>
            </w:r>
            <w:r>
              <w:rPr>
                <w:noProof/>
              </w:rPr>
              <w:fldChar w:fldCharType="begin"/>
            </w:r>
            <w:r>
              <w:rPr>
                <w:noProof/>
              </w:rPr>
              <w:instrText xml:space="preserve"> SEQ Box \* ARABIC \s 1 </w:instrText>
            </w:r>
            <w:r>
              <w:rPr>
                <w:noProof/>
              </w:rPr>
              <w:fldChar w:fldCharType="separate"/>
            </w:r>
            <w:r w:rsidR="00CA5B8D">
              <w:rPr>
                <w:noProof/>
              </w:rPr>
              <w:t>7</w:t>
            </w:r>
            <w:r>
              <w:rPr>
                <w:noProof/>
              </w:rPr>
              <w:fldChar w:fldCharType="end"/>
            </w:r>
            <w:r>
              <w:t xml:space="preserve">. </w:t>
            </w:r>
            <w:r w:rsidRPr="00792E07">
              <w:t>Post-graduate training for Indigenous teachers, University of Sydney, Australia</w:t>
            </w:r>
          </w:p>
          <w:p w14:paraId="055EE53D" w14:textId="77777777" w:rsidR="00792E07" w:rsidRPr="00792E07" w:rsidRDefault="00792E07" w:rsidP="00792E07">
            <w:pPr>
              <w:pStyle w:val="Para0"/>
            </w:pPr>
            <w:r w:rsidRPr="00792E07">
              <w:t xml:space="preserve">Candidates for the Masters of Indigenous Languages Education (MILE) are qualified Indigenous teachers who are interested in teaching their language and/or supporting the teaching of Indigenous languages in schools and other education settings. </w:t>
            </w:r>
          </w:p>
          <w:p w14:paraId="248D196C" w14:textId="7EDFAD43" w:rsidR="00792E07" w:rsidRPr="00792E07" w:rsidRDefault="00792E07" w:rsidP="00792E07">
            <w:pPr>
              <w:pStyle w:val="Para0"/>
            </w:pPr>
            <w:r w:rsidRPr="00792E07">
              <w:t xml:space="preserve">The MILE programme is offered nationally through the University of Sydney, and run as an intensive block-release programme </w:t>
            </w:r>
            <w:r>
              <w:t>over 2 </w:t>
            </w:r>
            <w:r w:rsidRPr="00792E07">
              <w:t>semesters, with 3 x 1 week-long blocks each semester. Currently, travel and accommodation costs are supported by the university and a proportion of tuition fees are subsidised through Australian Government funding.</w:t>
            </w:r>
          </w:p>
          <w:p w14:paraId="541509EB" w14:textId="77777777" w:rsidR="00792E07" w:rsidRPr="00792E07" w:rsidRDefault="00792E07" w:rsidP="00792E07">
            <w:pPr>
              <w:pStyle w:val="Para0"/>
            </w:pPr>
            <w:r w:rsidRPr="00792E07">
              <w:t>The course aims to improve participants' general knowledge about Indigenous languages, assist students with exploring their language of choice, and enhance their employability in the field of teaching Indigenous languages.</w:t>
            </w:r>
          </w:p>
          <w:p w14:paraId="462A535D" w14:textId="43E48C2E" w:rsidR="00792E07" w:rsidRPr="00792E07" w:rsidRDefault="00792E07" w:rsidP="00792E07">
            <w:pPr>
              <w:pStyle w:val="Para0"/>
            </w:pPr>
            <w:r w:rsidRPr="00792E07">
              <w:t xml:space="preserve">In their first semester, participants complete core units of study in sounds and writing, words and meanings, sentences and texts and theories and methods in Indigenous language learning. These units build teachers' knowledge of language teaching and linguistics which they apply to the study and teaching </w:t>
            </w:r>
            <w:r>
              <w:t>of their languages. In semester </w:t>
            </w:r>
            <w:r w:rsidRPr="00792E07">
              <w:t>2, participants study research methods, curriculum development and technology and undert</w:t>
            </w:r>
            <w:r>
              <w:t>ake a “capstone”</w:t>
            </w:r>
            <w:r w:rsidRPr="00792E07">
              <w:t xml:space="preserve"> (compulsory) research project based on their own language teaching.</w:t>
            </w:r>
          </w:p>
          <w:p w14:paraId="60CCEC34" w14:textId="77777777" w:rsidR="00792E07" w:rsidRDefault="00792E07" w:rsidP="00792E07">
            <w:pPr>
              <w:pStyle w:val="Sourcenotes"/>
              <w:jc w:val="left"/>
              <w:rPr>
                <w:rFonts w:ascii="Times New Roman" w:hAnsi="Times New Roman" w:cs="Times New Roman"/>
              </w:rPr>
            </w:pPr>
            <w:r>
              <w:rPr>
                <w:rFonts w:ascii="Times New Roman" w:hAnsi="Times New Roman" w:cs="Times New Roman"/>
              </w:rPr>
              <w:t xml:space="preserve">Source: </w:t>
            </w:r>
            <w:r w:rsidRPr="00852D94">
              <w:rPr>
                <w:rFonts w:ascii="Times New Roman" w:hAnsi="Times New Roman" w:cs="Times New Roman"/>
              </w:rPr>
              <w:t>Master of Indigenous Languages Education, University of Sydney Website</w:t>
            </w:r>
          </w:p>
          <w:p w14:paraId="308E636E" w14:textId="77777777" w:rsidR="00792E07" w:rsidRPr="00852D94" w:rsidRDefault="00792E07" w:rsidP="00792E07">
            <w:pPr>
              <w:pStyle w:val="Sourcenotes"/>
              <w:jc w:val="left"/>
              <w:rPr>
                <w:rStyle w:val="Hyperlink"/>
                <w:rFonts w:ascii="Times New Roman" w:hAnsi="Times New Roman" w:cs="Times New Roman"/>
              </w:rPr>
            </w:pPr>
            <w:r w:rsidRPr="00852D94">
              <w:rPr>
                <w:rStyle w:val="Hyperlink"/>
                <w:rFonts w:ascii="Times New Roman" w:hAnsi="Times New Roman" w:cs="Times New Roman"/>
              </w:rPr>
              <w:t>https://www.sydney.edu.au/courses/courses/pc/master-of-indigenous-languages-education.html</w:t>
            </w:r>
          </w:p>
          <w:p w14:paraId="41CBC3FD" w14:textId="2BECFEEF" w:rsidR="00792E07" w:rsidRPr="00775FF9" w:rsidRDefault="00792E07" w:rsidP="00792E07">
            <w:pPr>
              <w:pStyle w:val="Sourcenotes"/>
            </w:pPr>
          </w:p>
        </w:tc>
      </w:tr>
    </w:tbl>
    <w:p w14:paraId="1D5B54E1" w14:textId="77777777" w:rsidR="006145A3" w:rsidRPr="00852D94" w:rsidRDefault="006145A3" w:rsidP="006145A3">
      <w:pPr>
        <w:pStyle w:val="Heading3"/>
        <w:numPr>
          <w:ilvl w:val="2"/>
          <w:numId w:val="22"/>
        </w:numPr>
      </w:pPr>
      <w:r w:rsidRPr="00852D94">
        <w:t xml:space="preserve">Indigenous </w:t>
      </w:r>
      <w:r>
        <w:t>resources</w:t>
      </w:r>
    </w:p>
    <w:p w14:paraId="53D3F0B6" w14:textId="2B8ADEC8" w:rsidR="006145A3" w:rsidRPr="00472C57" w:rsidRDefault="006145A3" w:rsidP="006145A3">
      <w:pPr>
        <w:pStyle w:val="Para0"/>
      </w:pPr>
      <w:r w:rsidRPr="00472C57">
        <w:t xml:space="preserve">Literacy programmes in Indigenous children's mother tongue build rich stores of traditional and contemporary materials in many different genres. The Living Archive of Aboriginal Languages (LAAL) (2012) is an initiative in the Northern Territory of Australia that aims to preserve the literature produced through decades of Indigenous language programmes in traditional Indigenous languages and the new Indigenous language Kriol. LAAL makes these accessible to community and educators on-line and via a mobile phone app, produces outreach with teaching hints and updates, and researches uptake and archive design </w:t>
      </w:r>
      <w:sdt>
        <w:sdtPr>
          <w:id w:val="774822426"/>
          <w:citation/>
        </w:sdtPr>
        <w:sdtEndPr/>
        <w:sdtContent>
          <w:r w:rsidR="00220E01">
            <w:fldChar w:fldCharType="begin"/>
          </w:r>
          <w:r w:rsidR="00E56D2D">
            <w:instrText>CITATION CrossRef_CC5KVGdLl32rAZpd50gTWA \m Bow14 \m Bow17 \l 2057  \m Dev15</w:instrText>
          </w:r>
          <w:r w:rsidR="00220E01">
            <w:fldChar w:fldCharType="separate"/>
          </w:r>
          <w:bookmarkStart w:id="297" w:name="Bow14_212"/>
          <w:bookmarkStart w:id="298" w:name="Bow17_213"/>
          <w:bookmarkStart w:id="299" w:name="Dev15_214"/>
          <w:r w:rsidR="00E56D2D" w:rsidRPr="00E56D2D">
            <w:rPr>
              <w:noProof/>
            </w:rPr>
            <w:t>(Bow, 2016</w:t>
          </w:r>
          <w:r w:rsidR="00E56D2D" w:rsidRPr="00E56D2D">
            <w:rPr>
              <w:noProof/>
              <w:vertAlign w:val="subscript"/>
            </w:rPr>
            <w:t>[211]</w:t>
          </w:r>
          <w:r w:rsidR="00E56D2D" w:rsidRPr="00E56D2D">
            <w:rPr>
              <w:noProof/>
            </w:rPr>
            <w:t>; Bow, Christie and Devlin, 2014</w:t>
          </w:r>
          <w:r w:rsidR="00E56D2D" w:rsidRPr="00E56D2D">
            <w:rPr>
              <w:noProof/>
              <w:vertAlign w:val="subscript"/>
            </w:rPr>
            <w:t>[212]</w:t>
          </w:r>
          <w:r w:rsidR="00E56D2D" w:rsidRPr="00E56D2D">
            <w:rPr>
              <w:noProof/>
            </w:rPr>
            <w:t>; Bow, Christie and Devlin, 2017</w:t>
          </w:r>
          <w:r w:rsidR="00E56D2D" w:rsidRPr="00E56D2D">
            <w:rPr>
              <w:noProof/>
              <w:vertAlign w:val="subscript"/>
            </w:rPr>
            <w:t>[213]</w:t>
          </w:r>
          <w:r w:rsidR="00E56D2D" w:rsidRPr="00E56D2D">
            <w:rPr>
              <w:noProof/>
            </w:rPr>
            <w:t>; Devlin et al., 2015</w:t>
          </w:r>
          <w:r w:rsidR="00E56D2D" w:rsidRPr="00E56D2D">
            <w:rPr>
              <w:noProof/>
              <w:vertAlign w:val="subscript"/>
            </w:rPr>
            <w:t>[214]</w:t>
          </w:r>
          <w:r w:rsidR="00E56D2D" w:rsidRPr="00E56D2D">
            <w:rPr>
              <w:noProof/>
            </w:rPr>
            <w:t>)</w:t>
          </w:r>
          <w:bookmarkEnd w:id="297"/>
          <w:bookmarkEnd w:id="298"/>
          <w:bookmarkEnd w:id="299"/>
          <w:r w:rsidR="00220E01">
            <w:fldChar w:fldCharType="end"/>
          </w:r>
        </w:sdtContent>
      </w:sdt>
      <w:r w:rsidRPr="00472C57">
        <w:t xml:space="preserve">. </w:t>
      </w:r>
    </w:p>
    <w:p w14:paraId="04C66012" w14:textId="12781205" w:rsidR="006145A3" w:rsidRPr="00472C57" w:rsidRDefault="006145A3" w:rsidP="006145A3">
      <w:pPr>
        <w:pStyle w:val="Para0"/>
      </w:pPr>
      <w:r w:rsidRPr="00472C57">
        <w:t xml:space="preserve">Other types of story-based language resources include projects which document older people talking about history and their experiences in and knowledge of the natural world. For example, the Inuit Siku (sea ice) Atlas contains personal oral histories, rich descriptions of sea ice, along with sea ice terminology by senior </w:t>
      </w:r>
      <w:r w:rsidRPr="00472C57">
        <w:lastRenderedPageBreak/>
        <w:t>Inuit men illustrated with maps and photographs (Inuit Sea Ice Use and Occupancy Project, n.d). This material is now incorporated into Tariuq (Oceans) in Grade</w:t>
      </w:r>
      <w:r w:rsidR="009269D9">
        <w:t> </w:t>
      </w:r>
      <w:r w:rsidRPr="00472C57">
        <w:t>11 for Nunavut schools.</w:t>
      </w:r>
    </w:p>
    <w:p w14:paraId="49603FDF" w14:textId="77777777" w:rsidR="006145A3" w:rsidRPr="00472C57" w:rsidRDefault="006145A3" w:rsidP="006145A3">
      <w:pPr>
        <w:pStyle w:val="Para0"/>
      </w:pPr>
      <w:r w:rsidRPr="00472C57">
        <w:t xml:space="preserve">Publishing stories, contemporary or traditional, in Indigenous languages is increasingly available thanks to desk-top publishing and the internet. Both print and on-line material provides potential resources for Indigenous language programmes. New media, such as image, video, sound and music editing can engage Indigenous youth and can provide direct pathways for them to make and publish (on-line) language and culture-based materials valued by their community, including their elders. These outputs can augment resources available for Indigenous language programmes, and offer a high yield teaching focus and model for student tasks. </w:t>
      </w:r>
    </w:p>
    <w:p w14:paraId="471417B5" w14:textId="7A41B83D" w:rsidR="006145A3" w:rsidRPr="00A92F51" w:rsidRDefault="006145A3" w:rsidP="006145A3">
      <w:pPr>
        <w:pStyle w:val="Para0"/>
      </w:pPr>
      <w:r w:rsidRPr="00472C57">
        <w:t xml:space="preserve">There are extra steps between having such resources and using them to maximal effectiveness as a language teaching device. A story is maximally useful for Indigenous languages teachers in classroom-based programmes, if accompanied by teaching resources such as a unit plan, a sequence of activities and sample lesson plans, which are aligned to the language curriculum and its outcomes. Many Indigenous languages programmes rely on dedicated languages teachers who have little training and ongoing professional development support, so those 'extra steps' become more significant. Bolstering a resource with recordings and practice material for the language </w:t>
      </w:r>
      <w:r w:rsidR="009269D9">
        <w:t>teachers themselves is another “usability”</w:t>
      </w:r>
      <w:r w:rsidRPr="00472C57">
        <w:t xml:space="preserve"> bonus for revival settings</w:t>
      </w:r>
      <w:r w:rsidR="009269D9">
        <w:t xml:space="preserve"> (cf</w:t>
      </w:r>
      <w:r w:rsidRPr="00472C57">
        <w:t xml:space="preserve"> </w:t>
      </w:r>
      <w:sdt>
        <w:sdtPr>
          <w:id w:val="-1546747435"/>
          <w:citation/>
        </w:sdtPr>
        <w:sdtEndPr/>
        <w:sdtContent>
          <w:r w:rsidR="009269D9">
            <w:fldChar w:fldCharType="begin"/>
          </w:r>
          <w:r w:rsidR="009269D9">
            <w:instrText xml:space="preserve"> CITATION Poe19 \l 2057 </w:instrText>
          </w:r>
          <w:r w:rsidR="009269D9">
            <w:fldChar w:fldCharType="separate"/>
          </w:r>
          <w:r w:rsidR="009269D9" w:rsidRPr="009269D9">
            <w:rPr>
              <w:noProof/>
            </w:rPr>
            <w:t>(</w:t>
          </w:r>
          <w:bookmarkStart w:id="300" w:name="Poe19_215"/>
          <w:r w:rsidR="009269D9" w:rsidRPr="009269D9">
            <w:rPr>
              <w:noProof/>
            </w:rPr>
            <w:t>Poetsch, Jarrett and Angelo, 2019</w:t>
          </w:r>
          <w:r w:rsidR="009269D9" w:rsidRPr="009269D9">
            <w:rPr>
              <w:noProof/>
              <w:vertAlign w:val="subscript"/>
            </w:rPr>
            <w:t>[215]</w:t>
          </w:r>
          <w:r w:rsidR="009269D9" w:rsidRPr="009269D9">
            <w:rPr>
              <w:noProof/>
            </w:rPr>
            <w:t>)</w:t>
          </w:r>
          <w:bookmarkEnd w:id="300"/>
          <w:r w:rsidR="009269D9">
            <w:fldChar w:fldCharType="end"/>
          </w:r>
        </w:sdtContent>
      </w:sdt>
      <w:r w:rsidRPr="00472C57">
        <w:t xml:space="preserve"> for their workshop materials). Support for the 'full package' of teaching res</w:t>
      </w:r>
      <w:r w:rsidRPr="00231325">
        <w:t>ources that can be based on the language of a story is sometimes overlooked.</w:t>
      </w:r>
    </w:p>
    <w:p w14:paraId="68DE4861" w14:textId="77777777" w:rsidR="006145A3" w:rsidRDefault="006145A3" w:rsidP="00596F5C">
      <w:pPr>
        <w:pStyle w:val="Heading1"/>
        <w:framePr w:w="11609" w:wrap="notBeside" w:x="1276"/>
        <w:numPr>
          <w:ilvl w:val="0"/>
          <w:numId w:val="22"/>
        </w:numPr>
        <w:ind w:left="1077" w:hanging="964"/>
      </w:pPr>
      <w:bookmarkStart w:id="301" w:name="_Toc95824119"/>
      <w:r w:rsidRPr="00A92F51">
        <w:lastRenderedPageBreak/>
        <w:t>In conclusion</w:t>
      </w:r>
      <w:bookmarkEnd w:id="301"/>
      <w:r w:rsidRPr="00A92F51">
        <w:t xml:space="preserve"> </w:t>
      </w:r>
    </w:p>
    <w:p w14:paraId="328B91F9" w14:textId="155D0A45" w:rsidR="006145A3" w:rsidRPr="00396601" w:rsidRDefault="006145A3" w:rsidP="006145A3">
      <w:pPr>
        <w:pStyle w:val="Para0"/>
      </w:pPr>
      <w:r w:rsidRPr="00396601">
        <w:t xml:space="preserve">This section draws on the good practice across the three </w:t>
      </w:r>
      <w:r w:rsidR="00596F5C" w:rsidRPr="00396601">
        <w:t>jurisdictions, which</w:t>
      </w:r>
      <w:r w:rsidRPr="00396601">
        <w:t xml:space="preserve"> has been described in the body of this report. This material indicates the extent of the ongoing work and the diversity of the contexts in which learning in Indigenous languages is occurring.   </w:t>
      </w:r>
    </w:p>
    <w:p w14:paraId="2F6BC40A" w14:textId="77777777" w:rsidR="006145A3" w:rsidRPr="00396601" w:rsidRDefault="006145A3" w:rsidP="006145A3">
      <w:pPr>
        <w:pStyle w:val="Para0"/>
      </w:pPr>
      <w:r w:rsidRPr="00396601">
        <w:t>On this basis, this report offers six general guiding principles for informing newer initiatives or evaluating ongoing Indigenous language programmes.</w:t>
      </w:r>
    </w:p>
    <w:p w14:paraId="544C9184" w14:textId="15BDDBB7" w:rsidR="006145A3" w:rsidRPr="00AE4361" w:rsidRDefault="006145A3" w:rsidP="006145A3">
      <w:pPr>
        <w:pStyle w:val="Heading2"/>
        <w:numPr>
          <w:ilvl w:val="1"/>
          <w:numId w:val="22"/>
        </w:numPr>
      </w:pPr>
      <w:bookmarkStart w:id="302" w:name="_Toc82093584"/>
      <w:bookmarkStart w:id="303" w:name="_Toc95824120"/>
      <w:r w:rsidRPr="00AE4361">
        <w:t>Designing with and by Indigenous language communit</w:t>
      </w:r>
      <w:bookmarkEnd w:id="302"/>
      <w:r w:rsidR="00DC1469">
        <w:t>ies</w:t>
      </w:r>
      <w:bookmarkEnd w:id="303"/>
    </w:p>
    <w:p w14:paraId="187765A6" w14:textId="77777777" w:rsidR="006145A3" w:rsidRPr="00396601" w:rsidRDefault="006145A3" w:rsidP="006145A3">
      <w:pPr>
        <w:pStyle w:val="Para0"/>
      </w:pPr>
      <w:r w:rsidRPr="00396601">
        <w:t xml:space="preserve">Indigenous languages belong to their Indigenous language community. Indigenous language programmes in schools (and in other education and training settings) need to be negotiated in a manner respecting Indigenous ownership, knowledges and ways of working.  </w:t>
      </w:r>
    </w:p>
    <w:p w14:paraId="37834BF9" w14:textId="77777777" w:rsidR="006145A3" w:rsidRPr="00396601" w:rsidRDefault="006145A3" w:rsidP="006145A3">
      <w:pPr>
        <w:pStyle w:val="Para0"/>
      </w:pPr>
      <w:r w:rsidRPr="00396601">
        <w:t xml:space="preserve">In partnership with Indigenous language communities, education institutions can commit to providing support for traditional Indigenous language programmes and, where applicable, recognising new Indigenous languages and Indigenised Englishes. </w:t>
      </w:r>
    </w:p>
    <w:p w14:paraId="430671EA" w14:textId="77777777" w:rsidR="006145A3" w:rsidRPr="00396601" w:rsidRDefault="006145A3" w:rsidP="006145A3">
      <w:pPr>
        <w:pStyle w:val="Para0"/>
      </w:pPr>
      <w:r w:rsidRPr="00396601">
        <w:t xml:space="preserve">Recognition of Indigenous language ownership must underpin Indigenous language programmes for successful engagement. Investing in Indigenous control and leadership over this Indigenous curriculum area clears the way for greater and more equitable Indigenous participation.   </w:t>
      </w:r>
    </w:p>
    <w:p w14:paraId="694CEB68" w14:textId="5D89FBE6" w:rsidR="006145A3" w:rsidRPr="00396601" w:rsidRDefault="006145A3" w:rsidP="006145A3">
      <w:pPr>
        <w:pStyle w:val="Para0"/>
      </w:pPr>
      <w:r w:rsidRPr="00396601">
        <w:t xml:space="preserve">Local Indigenous language communities can partner with schools and formalise agreements about their Indigenous language programme and their provision </w:t>
      </w:r>
      <w:r w:rsidR="00DC1469">
        <w:t xml:space="preserve">so they have </w:t>
      </w:r>
      <w:r w:rsidRPr="00396601">
        <w:t>ongoing input into their content and conduct. Together with education institutions they can co-design policies and processes to support Indigenous language programmes.</w:t>
      </w:r>
    </w:p>
    <w:p w14:paraId="46EFE6F9" w14:textId="77777777" w:rsidR="006145A3" w:rsidRPr="00396601" w:rsidRDefault="006145A3" w:rsidP="006145A3">
      <w:pPr>
        <w:pStyle w:val="Para0"/>
      </w:pPr>
      <w:r w:rsidRPr="00396601">
        <w:t>Initiatives that support Indigenous control over their language programmes could include:</w:t>
      </w:r>
    </w:p>
    <w:p w14:paraId="7C7CB166" w14:textId="77777777" w:rsidR="006145A3" w:rsidRPr="00501540" w:rsidRDefault="006145A3" w:rsidP="006145A3">
      <w:pPr>
        <w:pStyle w:val="Para0"/>
        <w:rPr>
          <w:rFonts w:ascii="Times New Roman" w:eastAsiaTheme="majorEastAsia" w:hAnsi="Times New Roman" w:cs="Times New Roman"/>
          <w:b/>
          <w:i/>
          <w:sz w:val="22"/>
          <w:szCs w:val="24"/>
        </w:rPr>
      </w:pPr>
      <w:r w:rsidRPr="00501540">
        <w:rPr>
          <w:rFonts w:ascii="Times New Roman" w:eastAsiaTheme="majorEastAsia" w:hAnsi="Times New Roman" w:cs="Times New Roman"/>
          <w:b/>
          <w:i/>
          <w:sz w:val="22"/>
          <w:szCs w:val="24"/>
        </w:rPr>
        <w:t xml:space="preserve">1) Local, regional and peak Indigenous language programme reference groups </w:t>
      </w:r>
    </w:p>
    <w:p w14:paraId="56AE992E" w14:textId="77777777" w:rsidR="006145A3" w:rsidRPr="00396601" w:rsidRDefault="006145A3" w:rsidP="006145A3">
      <w:pPr>
        <w:pStyle w:val="Para0"/>
      </w:pPr>
      <w:r w:rsidRPr="00396601">
        <w:t xml:space="preserve">Such authorities acknowledge Indigenous custodianship and give education institutions a consultative mechanism for seeking guidance. They serve to build capacity and leadership for Indigenous people working in Indigenous languages programmes and enable sharing of ideas and resources. These groups comprise Indigenous people who are actively teaching their languages in school programmes, and so know at first hand the benefits and challenges of language teaching in schools. </w:t>
      </w:r>
    </w:p>
    <w:p w14:paraId="03374EC2" w14:textId="77777777" w:rsidR="006145A3" w:rsidRPr="00501540" w:rsidRDefault="006145A3" w:rsidP="006145A3">
      <w:pPr>
        <w:pStyle w:val="Heading3"/>
        <w:keepNext w:val="0"/>
        <w:keepLines w:val="0"/>
        <w:numPr>
          <w:ilvl w:val="2"/>
          <w:numId w:val="22"/>
        </w:numPr>
        <w:rPr>
          <w:rFonts w:ascii="Times New Roman" w:hAnsi="Times New Roman" w:cs="Times New Roman"/>
        </w:rPr>
      </w:pPr>
      <w:r w:rsidRPr="00501540">
        <w:rPr>
          <w:rFonts w:ascii="Times New Roman" w:hAnsi="Times New Roman" w:cs="Times New Roman"/>
        </w:rPr>
        <w:t xml:space="preserve">2) Clear expectations about school-community consultations </w:t>
      </w:r>
    </w:p>
    <w:p w14:paraId="7BD5222B" w14:textId="77777777" w:rsidR="006145A3" w:rsidRPr="00396601" w:rsidRDefault="006145A3" w:rsidP="006145A3">
      <w:pPr>
        <w:pStyle w:val="Para0"/>
      </w:pPr>
      <w:r w:rsidRPr="00396601">
        <w:t>Policies and protocols designed by Indigenous organisations and education departments can lay out clear expectations for school-community consultations. These could be negotiated through a peak Indigenous language programme</w:t>
      </w:r>
      <w:r>
        <w:t xml:space="preserve"> </w:t>
      </w:r>
      <w:r w:rsidRPr="00396601">
        <w:t xml:space="preserve">reference group. They could usefully give advice for establishing a local Indigenous language reference group and guide consultation expectations for initiating or maintaining Indigenous language programmes. </w:t>
      </w:r>
    </w:p>
    <w:p w14:paraId="3A8CC695" w14:textId="77777777" w:rsidR="006145A3" w:rsidRPr="00501540" w:rsidRDefault="006145A3" w:rsidP="006145A3">
      <w:pPr>
        <w:pStyle w:val="Heading3"/>
        <w:keepNext w:val="0"/>
        <w:keepLines w:val="0"/>
        <w:numPr>
          <w:ilvl w:val="2"/>
          <w:numId w:val="22"/>
        </w:numPr>
        <w:rPr>
          <w:rFonts w:ascii="Times New Roman" w:hAnsi="Times New Roman" w:cs="Times New Roman"/>
        </w:rPr>
      </w:pPr>
      <w:r w:rsidRPr="00501540">
        <w:rPr>
          <w:rFonts w:ascii="Times New Roman" w:hAnsi="Times New Roman" w:cs="Times New Roman"/>
        </w:rPr>
        <w:t xml:space="preserve">3) Designing language programme goals with and by the Indigenous language community </w:t>
      </w:r>
    </w:p>
    <w:p w14:paraId="45AB0F61" w14:textId="77777777" w:rsidR="006145A3" w:rsidRPr="00396601" w:rsidRDefault="006145A3" w:rsidP="006145A3">
      <w:pPr>
        <w:pStyle w:val="Para0"/>
      </w:pPr>
      <w:r w:rsidRPr="00396601">
        <w:lastRenderedPageBreak/>
        <w:t>The local Indigenous language reference group in conjunction with the broader Indigenous language community co-designs the goals of their language programme</w:t>
      </w:r>
      <w:r>
        <w:t xml:space="preserve"> </w:t>
      </w:r>
      <w:r w:rsidRPr="00396601">
        <w:t>together with the school. Goals could include matters such as employing and training local Indigenous staff, as well as a classroom language teaching and learning focus. The goals should be clearly articulated and accessible for Indigenous community members and revisited at regular intervals with the local Indigenous language reference group.</w:t>
      </w:r>
    </w:p>
    <w:p w14:paraId="4E79E07E" w14:textId="77777777" w:rsidR="006145A3" w:rsidRPr="00501540" w:rsidRDefault="006145A3" w:rsidP="006145A3">
      <w:pPr>
        <w:pStyle w:val="Heading3"/>
        <w:keepNext w:val="0"/>
        <w:keepLines w:val="0"/>
        <w:numPr>
          <w:ilvl w:val="2"/>
          <w:numId w:val="22"/>
        </w:numPr>
        <w:rPr>
          <w:rFonts w:ascii="Times New Roman" w:hAnsi="Times New Roman" w:cs="Times New Roman"/>
        </w:rPr>
      </w:pPr>
      <w:r w:rsidRPr="00501540">
        <w:rPr>
          <w:rFonts w:ascii="Times New Roman" w:hAnsi="Times New Roman" w:cs="Times New Roman"/>
        </w:rPr>
        <w:t xml:space="preserve">4) Community friendly documents and processes </w:t>
      </w:r>
    </w:p>
    <w:p w14:paraId="34A61CF6" w14:textId="334888BB" w:rsidR="006145A3" w:rsidRPr="00396601" w:rsidRDefault="006145A3" w:rsidP="006145A3">
      <w:pPr>
        <w:pStyle w:val="Para0"/>
      </w:pPr>
      <w:r w:rsidRPr="00396601">
        <w:t>Indigenous agency in language programmes can be facilitated by do</w:t>
      </w:r>
      <w:r w:rsidR="00596F5C">
        <w:t>cuments and processes that are “</w:t>
      </w:r>
      <w:r w:rsidRPr="00396601">
        <w:t>community-friendly</w:t>
      </w:r>
      <w:r w:rsidR="00596F5C">
        <w:t>”</w:t>
      </w:r>
      <w:r w:rsidRPr="00396601">
        <w:t xml:space="preserve">, that is, expressed in a way which community members find easy to understand. They could:  </w:t>
      </w:r>
    </w:p>
    <w:p w14:paraId="63B1E561" w14:textId="77777777" w:rsidR="006145A3" w:rsidRPr="0042139F" w:rsidRDefault="006145A3" w:rsidP="006145A3">
      <w:pPr>
        <w:pStyle w:val="BulletedList"/>
      </w:pPr>
      <w:r w:rsidRPr="0042139F">
        <w:t>guide Indigenous language community-school-department consultations</w:t>
      </w:r>
    </w:p>
    <w:p w14:paraId="3AB9962D" w14:textId="77777777" w:rsidR="006145A3" w:rsidRPr="0042139F" w:rsidRDefault="006145A3" w:rsidP="006145A3">
      <w:pPr>
        <w:pStyle w:val="BulletedList"/>
      </w:pPr>
      <w:r w:rsidRPr="0042139F">
        <w:t>inform Indigenous language communities about possible programme pathways</w:t>
      </w:r>
    </w:p>
    <w:p w14:paraId="7CC31150" w14:textId="77777777" w:rsidR="006145A3" w:rsidRPr="0042139F" w:rsidRDefault="006145A3" w:rsidP="006145A3">
      <w:pPr>
        <w:pStyle w:val="BulletedList"/>
      </w:pPr>
      <w:r w:rsidRPr="0042139F">
        <w:t xml:space="preserve">formalise Indigenous language community-school-department agreements about Indigenous languages programmes. </w:t>
      </w:r>
    </w:p>
    <w:p w14:paraId="627C2984" w14:textId="77777777" w:rsidR="006145A3" w:rsidRPr="00AE4361" w:rsidRDefault="006145A3" w:rsidP="006145A3">
      <w:pPr>
        <w:pStyle w:val="Heading2"/>
        <w:numPr>
          <w:ilvl w:val="1"/>
          <w:numId w:val="22"/>
        </w:numPr>
      </w:pPr>
      <w:bookmarkStart w:id="304" w:name="_Toc82093585"/>
      <w:bookmarkStart w:id="305" w:name="_Toc95824121"/>
      <w:r w:rsidRPr="0042139F">
        <w:t>Recognising</w:t>
      </w:r>
      <w:r w:rsidRPr="00AE4361">
        <w:t xml:space="preserve"> </w:t>
      </w:r>
      <w:r>
        <w:t>and</w:t>
      </w:r>
      <w:r w:rsidRPr="00AE4361">
        <w:t xml:space="preserve"> operationalising Indigenous language ecologies</w:t>
      </w:r>
      <w:bookmarkEnd w:id="304"/>
      <w:bookmarkEnd w:id="305"/>
    </w:p>
    <w:p w14:paraId="505185BE" w14:textId="77777777" w:rsidR="006145A3" w:rsidRPr="00396601" w:rsidRDefault="006145A3" w:rsidP="006145A3">
      <w:pPr>
        <w:pStyle w:val="Para0"/>
      </w:pPr>
      <w:r w:rsidRPr="00396601">
        <w:t>The local language ecologies in which Indigenous peoples live, learn and work are diverse.  Fine-grained descriptions of these must be actively sought from local Indigenous community members, because it is rarely obtainable from large demographic survey data.</w:t>
      </w:r>
    </w:p>
    <w:p w14:paraId="6284AD3A" w14:textId="77777777" w:rsidR="006145A3" w:rsidRPr="00396601" w:rsidRDefault="006145A3" w:rsidP="006145A3">
      <w:pPr>
        <w:pStyle w:val="Para0"/>
      </w:pPr>
      <w:r w:rsidRPr="00396601">
        <w:t>Recognising Indigenous language ecologies is fundamental to meeting overall schooling needs of Indigenous students, including if they are fluent speakers of the national language(s). The local language ecology impacts on school-community communications, and on adult education pathways too.</w:t>
      </w:r>
    </w:p>
    <w:p w14:paraId="16F676CB" w14:textId="77777777" w:rsidR="006145A3" w:rsidRPr="00396601" w:rsidRDefault="006145A3" w:rsidP="006145A3">
      <w:pPr>
        <w:pStyle w:val="Para0"/>
      </w:pPr>
      <w:r w:rsidRPr="00396601">
        <w:t>Successful Indigenous language programmes respond to the local Indigenous language ecology, taking into account whether students are mother tongue/first language speakers or second/additional language learners of their Indigenous language. These languages may be</w:t>
      </w:r>
    </w:p>
    <w:p w14:paraId="083812BB" w14:textId="77777777" w:rsidR="006145A3" w:rsidRPr="0042139F" w:rsidRDefault="006145A3" w:rsidP="006145A3">
      <w:pPr>
        <w:pStyle w:val="BulletedList"/>
      </w:pPr>
      <w:r w:rsidRPr="0042139F">
        <w:t>a re-awakening language, on a journey of being researched, rebuilt and learned</w:t>
      </w:r>
    </w:p>
    <w:p w14:paraId="6A334043" w14:textId="77777777" w:rsidR="006145A3" w:rsidRPr="0042139F" w:rsidRDefault="006145A3" w:rsidP="006145A3">
      <w:pPr>
        <w:pStyle w:val="BulletedList"/>
      </w:pPr>
      <w:r w:rsidRPr="0042139F">
        <w:t>a language spoken fluently by an older generation, but less so by younger people</w:t>
      </w:r>
    </w:p>
    <w:p w14:paraId="4B352A3F" w14:textId="77777777" w:rsidR="006145A3" w:rsidRPr="0042139F" w:rsidRDefault="006145A3" w:rsidP="006145A3">
      <w:pPr>
        <w:pStyle w:val="BulletedList"/>
      </w:pPr>
      <w:r w:rsidRPr="0042139F">
        <w:t xml:space="preserve">the vernacular of the community and mother tongue/first language of students </w:t>
      </w:r>
    </w:p>
    <w:p w14:paraId="51A29FE8" w14:textId="77777777" w:rsidR="006145A3" w:rsidRPr="00396601" w:rsidRDefault="006145A3" w:rsidP="006145A3">
      <w:pPr>
        <w:pStyle w:val="Para0"/>
      </w:pPr>
      <w:r w:rsidRPr="00396601">
        <w:t>Initiatives that support recognition of local language ecologies could include</w:t>
      </w:r>
      <w:r>
        <w:t>:</w:t>
      </w:r>
    </w:p>
    <w:p w14:paraId="66DD6C22" w14:textId="77777777" w:rsidR="006145A3" w:rsidRPr="00501540" w:rsidRDefault="006145A3" w:rsidP="006145A3">
      <w:pPr>
        <w:pStyle w:val="Heading3"/>
        <w:keepNext w:val="0"/>
        <w:keepLines w:val="0"/>
        <w:numPr>
          <w:ilvl w:val="2"/>
          <w:numId w:val="22"/>
        </w:numPr>
        <w:rPr>
          <w:rFonts w:ascii="Times New Roman" w:hAnsi="Times New Roman" w:cs="Times New Roman"/>
        </w:rPr>
      </w:pPr>
      <w:r w:rsidRPr="00501540">
        <w:rPr>
          <w:rFonts w:ascii="Times New Roman" w:hAnsi="Times New Roman" w:cs="Times New Roman"/>
        </w:rPr>
        <w:t>1) School-community consultations</w:t>
      </w:r>
    </w:p>
    <w:p w14:paraId="578A40EC" w14:textId="77777777" w:rsidR="006145A3" w:rsidRPr="00396601" w:rsidRDefault="006145A3" w:rsidP="006145A3">
      <w:pPr>
        <w:pStyle w:val="Para0"/>
      </w:pPr>
      <w:r w:rsidRPr="00396601">
        <w:t xml:space="preserve">In order to learn about which language(s) are spoken and to what extent (as in </w:t>
      </w:r>
      <w:r>
        <w:t>Figure 8-1</w:t>
      </w:r>
      <w:r w:rsidRPr="00396601">
        <w:t xml:space="preserve"> below) in the local Indigenous community, schools can consult with:</w:t>
      </w:r>
    </w:p>
    <w:p w14:paraId="6DE97F24" w14:textId="77777777" w:rsidR="006145A3" w:rsidRPr="0042139F" w:rsidRDefault="006145A3" w:rsidP="006145A3">
      <w:pPr>
        <w:pStyle w:val="BulletedList"/>
      </w:pPr>
      <w:r w:rsidRPr="0042139F">
        <w:t>local Indigenous staff, students and family members;</w:t>
      </w:r>
    </w:p>
    <w:p w14:paraId="31BF6703" w14:textId="77777777" w:rsidR="006145A3" w:rsidRPr="0042139F" w:rsidRDefault="006145A3" w:rsidP="006145A3">
      <w:pPr>
        <w:pStyle w:val="BulletedList"/>
      </w:pPr>
      <w:r w:rsidRPr="0042139F">
        <w:t>local Indigenous community members, more generally;</w:t>
      </w:r>
    </w:p>
    <w:p w14:paraId="16DFBD54" w14:textId="6CD520E8" w:rsidR="006145A3" w:rsidRDefault="006145A3" w:rsidP="006145A3">
      <w:pPr>
        <w:pStyle w:val="BulletedList"/>
        <w:rPr>
          <w:lang w:val="fr-FR"/>
        </w:rPr>
      </w:pPr>
      <w:r w:rsidRPr="00CB5860">
        <w:rPr>
          <w:lang w:val="fr-FR"/>
        </w:rPr>
        <w:t>Indigenous language and culture organisations.</w:t>
      </w:r>
      <w:bookmarkStart w:id="306" w:name="_Ref40352331"/>
      <w:bookmarkStart w:id="307" w:name="_Toc40288449"/>
    </w:p>
    <w:p w14:paraId="475C4949" w14:textId="4852F348" w:rsidR="00596F5C" w:rsidRDefault="00596F5C" w:rsidP="00596F5C">
      <w:pPr>
        <w:pStyle w:val="BulletedList"/>
        <w:numPr>
          <w:ilvl w:val="0"/>
          <w:numId w:val="0"/>
        </w:numPr>
        <w:ind w:left="680" w:hanging="340"/>
        <w:rPr>
          <w:lang w:val="fr-FR"/>
        </w:rPr>
      </w:pPr>
    </w:p>
    <w:p w14:paraId="26FBBE71" w14:textId="77777777" w:rsidR="00543D85" w:rsidRPr="007C31D2" w:rsidRDefault="00543D85">
      <w:pPr>
        <w:widowControl/>
        <w:spacing w:after="200" w:line="276" w:lineRule="auto"/>
        <w:jc w:val="left"/>
        <w:rPr>
          <w:rFonts w:asciiTheme="majorHAnsi" w:hAnsiTheme="majorHAnsi"/>
          <w:b/>
          <w:iCs/>
          <w:color w:val="4E81BD" w:themeColor="accent1"/>
          <w:sz w:val="24"/>
          <w:szCs w:val="18"/>
          <w:lang w:val="fr-FR"/>
        </w:rPr>
      </w:pPr>
      <w:r w:rsidRPr="007C31D2">
        <w:rPr>
          <w:lang w:val="fr-FR"/>
        </w:rPr>
        <w:br w:type="page"/>
      </w:r>
    </w:p>
    <w:p w14:paraId="2E2C5FD0" w14:textId="6793DCAE" w:rsidR="00596F5C" w:rsidRDefault="00596F5C" w:rsidP="00307F9E">
      <w:pPr>
        <w:pStyle w:val="Caption"/>
      </w:pPr>
      <w:bookmarkStart w:id="308" w:name="_Toc95824130"/>
      <w:r>
        <w:lastRenderedPageBreak/>
        <w:t>Figure </w:t>
      </w:r>
      <w:r>
        <w:rPr>
          <w:noProof/>
        </w:rPr>
        <w:fldChar w:fldCharType="begin"/>
      </w:r>
      <w:r>
        <w:rPr>
          <w:noProof/>
        </w:rPr>
        <w:instrText xml:space="preserve"> STYLEREF 1 \s </w:instrText>
      </w:r>
      <w:r>
        <w:rPr>
          <w:noProof/>
        </w:rPr>
        <w:fldChar w:fldCharType="separate"/>
      </w:r>
      <w:r w:rsidR="00CA5B8D">
        <w:rPr>
          <w:noProof/>
        </w:rPr>
        <w:t>8</w:t>
      </w:r>
      <w:r>
        <w:rPr>
          <w:noProof/>
        </w:rPr>
        <w:fldChar w:fldCharType="end"/>
      </w:r>
      <w:r>
        <w:t>.</w:t>
      </w:r>
      <w:r>
        <w:rPr>
          <w:noProof/>
        </w:rPr>
        <w:fldChar w:fldCharType="begin"/>
      </w:r>
      <w:r>
        <w:rPr>
          <w:noProof/>
        </w:rPr>
        <w:instrText xml:space="preserve"> SEQ Figure \* ARABIC \s 1 </w:instrText>
      </w:r>
      <w:r>
        <w:rPr>
          <w:noProof/>
        </w:rPr>
        <w:fldChar w:fldCharType="separate"/>
      </w:r>
      <w:r w:rsidR="00CA5B8D">
        <w:rPr>
          <w:noProof/>
        </w:rPr>
        <w:t>1</w:t>
      </w:r>
      <w:r>
        <w:rPr>
          <w:noProof/>
        </w:rPr>
        <w:fldChar w:fldCharType="end"/>
      </w:r>
      <w:r w:rsidR="00543D85">
        <w:t xml:space="preserve">. </w:t>
      </w:r>
      <w:r w:rsidR="00543D85" w:rsidRPr="00543D85">
        <w:t>Talking about local language ecology/individual repertoires</w:t>
      </w:r>
      <w:bookmarkEnd w:id="308"/>
    </w:p>
    <w:p w14:paraId="667B6CF8" w14:textId="3E53BBC1" w:rsidR="00596F5C" w:rsidRDefault="00596F5C" w:rsidP="00307F9E">
      <w:pPr>
        <w:pStyle w:val="Figure"/>
        <w:rPr>
          <w:i/>
        </w:rPr>
      </w:pPr>
    </w:p>
    <w:tbl>
      <w:tblPr>
        <w:tblW w:w="0" w:type="auto"/>
        <w:tblLook w:val="04A0" w:firstRow="1" w:lastRow="0" w:firstColumn="1" w:lastColumn="0" w:noHBand="0" w:noVBand="1"/>
      </w:tblPr>
      <w:tblGrid>
        <w:gridCol w:w="3397"/>
        <w:gridCol w:w="1230"/>
        <w:gridCol w:w="3231"/>
        <w:gridCol w:w="1158"/>
      </w:tblGrid>
      <w:tr w:rsidR="006145A3" w:rsidRPr="00852D94" w14:paraId="1833B476" w14:textId="77777777" w:rsidTr="003E4CEC">
        <w:tc>
          <w:tcPr>
            <w:tcW w:w="3397" w:type="dxa"/>
          </w:tcPr>
          <w:bookmarkEnd w:id="306"/>
          <w:bookmarkEnd w:id="307"/>
          <w:p w14:paraId="5AA674DE" w14:textId="77777777" w:rsidR="006145A3" w:rsidRPr="00852D94" w:rsidRDefault="006145A3" w:rsidP="003E4CEC">
            <w:pPr>
              <w:rPr>
                <w:rFonts w:ascii="Times New Roman" w:hAnsi="Times New Roman" w:cs="Times New Roman"/>
                <w:bCs/>
                <w:sz w:val="20"/>
                <w:szCs w:val="20"/>
                <w:lang w:val="en-AU"/>
              </w:rPr>
            </w:pPr>
            <w:r w:rsidRPr="00852D94">
              <w:rPr>
                <w:rFonts w:ascii="Times New Roman" w:hAnsi="Times New Roman" w:cs="Times New Roman"/>
                <w:bCs/>
                <w:sz w:val="20"/>
                <w:szCs w:val="20"/>
                <w:lang w:val="en-AU"/>
              </w:rPr>
              <w:t xml:space="preserve">Language name </w:t>
            </w:r>
          </w:p>
          <w:p w14:paraId="3EDE51D9" w14:textId="77777777" w:rsidR="006145A3" w:rsidRPr="00852D94" w:rsidRDefault="006145A3" w:rsidP="003E4CEC">
            <w:pPr>
              <w:rPr>
                <w:rFonts w:ascii="Times New Roman" w:hAnsi="Times New Roman" w:cs="Times New Roman"/>
                <w:sz w:val="20"/>
                <w:szCs w:val="20"/>
                <w:lang w:val="en-AU"/>
              </w:rPr>
            </w:pPr>
            <w:r w:rsidRPr="00852D94">
              <w:rPr>
                <w:rFonts w:ascii="Times New Roman" w:hAnsi="Times New Roman" w:cs="Times New Roman"/>
                <w:sz w:val="20"/>
                <w:szCs w:val="20"/>
                <w:lang w:val="en-AU"/>
              </w:rPr>
              <w:t>(or a description of where it is spoken)</w:t>
            </w:r>
          </w:p>
        </w:tc>
        <w:tc>
          <w:tcPr>
            <w:tcW w:w="1230" w:type="dxa"/>
          </w:tcPr>
          <w:p w14:paraId="71F6CC91" w14:textId="77777777" w:rsidR="006145A3" w:rsidRPr="00852D94" w:rsidRDefault="006145A3" w:rsidP="003E4CEC">
            <w:pPr>
              <w:jc w:val="center"/>
              <w:rPr>
                <w:rFonts w:ascii="Times New Roman" w:hAnsi="Times New Roman" w:cs="Times New Roman"/>
                <w:bCs/>
                <w:sz w:val="20"/>
                <w:szCs w:val="20"/>
                <w:lang w:val="en-AU"/>
              </w:rPr>
            </w:pPr>
            <w:r w:rsidRPr="00852D94">
              <w:rPr>
                <w:rFonts w:ascii="Times New Roman" w:hAnsi="Times New Roman" w:cs="Times New Roman"/>
                <w:bCs/>
                <w:sz w:val="20"/>
                <w:szCs w:val="20"/>
                <w:lang w:val="en-AU"/>
              </w:rPr>
              <w:t>Spoken as a mother tongue</w:t>
            </w:r>
          </w:p>
          <w:p w14:paraId="2412D59B" w14:textId="77777777" w:rsidR="006145A3" w:rsidRPr="00852D94" w:rsidRDefault="006145A3" w:rsidP="003E4CEC">
            <w:pPr>
              <w:jc w:val="center"/>
              <w:rPr>
                <w:rFonts w:ascii="Times New Roman" w:hAnsi="Times New Roman" w:cs="Times New Roman"/>
                <w:sz w:val="18"/>
                <w:szCs w:val="18"/>
                <w:lang w:val="en-AU"/>
              </w:rPr>
            </w:pPr>
            <w:r w:rsidRPr="00852D94">
              <w:rPr>
                <w:rFonts w:ascii="Times New Roman" w:hAnsi="Times New Roman" w:cs="Times New Roman"/>
                <w:sz w:val="18"/>
                <w:szCs w:val="18"/>
                <w:lang w:val="en-AU"/>
              </w:rPr>
              <w:t>Yes/No?</w:t>
            </w:r>
          </w:p>
        </w:tc>
        <w:tc>
          <w:tcPr>
            <w:tcW w:w="3231" w:type="dxa"/>
          </w:tcPr>
          <w:p w14:paraId="019969C3" w14:textId="77777777" w:rsidR="006145A3" w:rsidRPr="00852D94" w:rsidRDefault="006145A3" w:rsidP="003E4CEC">
            <w:pPr>
              <w:rPr>
                <w:rFonts w:ascii="Times New Roman" w:hAnsi="Times New Roman" w:cs="Times New Roman"/>
                <w:bCs/>
                <w:sz w:val="20"/>
                <w:szCs w:val="20"/>
                <w:lang w:val="en-AU"/>
              </w:rPr>
            </w:pPr>
            <w:r w:rsidRPr="00852D94">
              <w:rPr>
                <w:rFonts w:ascii="Times New Roman" w:hAnsi="Times New Roman" w:cs="Times New Roman"/>
                <w:bCs/>
                <w:sz w:val="20"/>
                <w:szCs w:val="20"/>
                <w:lang w:val="en-AU"/>
              </w:rPr>
              <w:t>Learned as an additional language</w:t>
            </w:r>
          </w:p>
          <w:p w14:paraId="757B1822" w14:textId="77777777" w:rsidR="006145A3" w:rsidRPr="00852D94" w:rsidRDefault="006145A3" w:rsidP="003E4CEC">
            <w:pPr>
              <w:rPr>
                <w:rFonts w:ascii="Times New Roman" w:hAnsi="Times New Roman" w:cs="Times New Roman"/>
                <w:sz w:val="20"/>
                <w:szCs w:val="20"/>
                <w:lang w:val="en-AU"/>
              </w:rPr>
            </w:pPr>
            <w:r w:rsidRPr="00852D94">
              <w:rPr>
                <w:rFonts w:ascii="Times New Roman" w:hAnsi="Times New Roman" w:cs="Times New Roman"/>
                <w:sz w:val="20"/>
                <w:szCs w:val="20"/>
                <w:lang w:val="en-AU"/>
              </w:rPr>
              <w:t xml:space="preserve">say almost               know a </w:t>
            </w:r>
          </w:p>
          <w:p w14:paraId="0E59B655" w14:textId="77777777" w:rsidR="006145A3" w:rsidRPr="00852D94" w:rsidRDefault="006145A3" w:rsidP="003E4CEC">
            <w:pPr>
              <w:rPr>
                <w:rFonts w:ascii="Times New Roman" w:hAnsi="Times New Roman" w:cs="Times New Roman"/>
                <w:bCs/>
                <w:sz w:val="20"/>
                <w:szCs w:val="20"/>
                <w:lang w:val="en-AU"/>
              </w:rPr>
            </w:pPr>
            <w:r w:rsidRPr="00852D94">
              <w:rPr>
                <w:rFonts w:ascii="Times New Roman" w:hAnsi="Times New Roman" w:cs="Times New Roman"/>
                <w:sz w:val="20"/>
                <w:szCs w:val="20"/>
                <w:lang w:val="en-AU"/>
              </w:rPr>
              <w:t xml:space="preserve">anything                 few words    </w:t>
            </w:r>
          </w:p>
        </w:tc>
        <w:tc>
          <w:tcPr>
            <w:tcW w:w="1158" w:type="dxa"/>
          </w:tcPr>
          <w:p w14:paraId="22B4A223" w14:textId="77777777" w:rsidR="006145A3" w:rsidRPr="00852D94" w:rsidRDefault="006145A3" w:rsidP="003E4CEC">
            <w:pPr>
              <w:jc w:val="center"/>
              <w:rPr>
                <w:rFonts w:ascii="Times New Roman" w:hAnsi="Times New Roman" w:cs="Times New Roman"/>
                <w:bCs/>
                <w:sz w:val="20"/>
                <w:szCs w:val="20"/>
                <w:lang w:val="en-AU"/>
              </w:rPr>
            </w:pPr>
            <w:r w:rsidRPr="00852D94">
              <w:rPr>
                <w:rFonts w:ascii="Times New Roman" w:hAnsi="Times New Roman" w:cs="Times New Roman"/>
                <w:bCs/>
                <w:sz w:val="20"/>
                <w:szCs w:val="20"/>
                <w:lang w:val="en-AU"/>
              </w:rPr>
              <w:t>Used</w:t>
            </w:r>
          </w:p>
          <w:p w14:paraId="06BCE898" w14:textId="77777777" w:rsidR="006145A3" w:rsidRPr="00852D94" w:rsidRDefault="006145A3" w:rsidP="003E4CEC">
            <w:pPr>
              <w:jc w:val="center"/>
              <w:rPr>
                <w:rFonts w:ascii="Times New Roman" w:hAnsi="Times New Roman" w:cs="Times New Roman"/>
                <w:bCs/>
                <w:sz w:val="20"/>
                <w:szCs w:val="20"/>
                <w:lang w:val="en-AU"/>
              </w:rPr>
            </w:pPr>
            <w:r w:rsidRPr="00852D94">
              <w:rPr>
                <w:rFonts w:ascii="Times New Roman" w:hAnsi="Times New Roman" w:cs="Times New Roman"/>
                <w:bCs/>
                <w:sz w:val="20"/>
                <w:szCs w:val="20"/>
                <w:lang w:val="en-AU"/>
              </w:rPr>
              <w:t>how often?</w:t>
            </w:r>
          </w:p>
        </w:tc>
      </w:tr>
      <w:tr w:rsidR="006145A3" w:rsidRPr="00852D94" w14:paraId="7B3A5D05" w14:textId="77777777" w:rsidTr="003E4CEC">
        <w:tc>
          <w:tcPr>
            <w:tcW w:w="3397" w:type="dxa"/>
          </w:tcPr>
          <w:p w14:paraId="129ED0E9" w14:textId="77777777" w:rsidR="006145A3" w:rsidRPr="00852D94" w:rsidRDefault="006145A3" w:rsidP="003E4CEC">
            <w:pPr>
              <w:rPr>
                <w:rFonts w:ascii="Times New Roman" w:hAnsi="Times New Roman" w:cs="Times New Roman"/>
                <w:bCs/>
                <w:sz w:val="20"/>
                <w:szCs w:val="20"/>
                <w:lang w:val="en-AU"/>
              </w:rPr>
            </w:pPr>
            <w:r w:rsidRPr="00852D94">
              <w:rPr>
                <w:rFonts w:ascii="Times New Roman" w:hAnsi="Times New Roman" w:cs="Times New Roman"/>
                <w:bCs/>
                <w:sz w:val="20"/>
                <w:szCs w:val="20"/>
                <w:lang w:val="en-AU"/>
              </w:rPr>
              <w:t xml:space="preserve">Traditional Indigenous Languages </w:t>
            </w:r>
          </w:p>
          <w:p w14:paraId="71C13D67" w14:textId="77777777" w:rsidR="006145A3" w:rsidRPr="00852D94" w:rsidRDefault="006145A3" w:rsidP="003E4CEC">
            <w:pPr>
              <w:rPr>
                <w:rFonts w:ascii="Times New Roman" w:hAnsi="Times New Roman" w:cs="Times New Roman"/>
                <w:sz w:val="18"/>
                <w:szCs w:val="18"/>
                <w:lang w:val="en-AU"/>
              </w:rPr>
            </w:pPr>
          </w:p>
          <w:p w14:paraId="1D5D928E" w14:textId="77777777" w:rsidR="006145A3" w:rsidRPr="00852D94" w:rsidRDefault="006145A3" w:rsidP="003E4CEC">
            <w:pPr>
              <w:rPr>
                <w:rFonts w:ascii="Times New Roman" w:hAnsi="Times New Roman" w:cs="Times New Roman"/>
                <w:sz w:val="18"/>
                <w:szCs w:val="18"/>
                <w:lang w:val="en-AU"/>
              </w:rPr>
            </w:pPr>
            <w:r w:rsidRPr="00852D94">
              <w:rPr>
                <w:rFonts w:ascii="Times New Roman" w:hAnsi="Times New Roman" w:cs="Times New Roman"/>
                <w:sz w:val="18"/>
                <w:szCs w:val="18"/>
                <w:lang w:val="en-AU"/>
              </w:rPr>
              <w:t>Name?</w:t>
            </w:r>
          </w:p>
        </w:tc>
        <w:tc>
          <w:tcPr>
            <w:tcW w:w="1230" w:type="dxa"/>
          </w:tcPr>
          <w:p w14:paraId="29CC080F" w14:textId="77777777" w:rsidR="006145A3" w:rsidRPr="00852D94" w:rsidRDefault="006145A3" w:rsidP="003E4CEC">
            <w:pPr>
              <w:rPr>
                <w:rFonts w:ascii="Times New Roman" w:hAnsi="Times New Roman" w:cs="Times New Roman"/>
                <w:sz w:val="20"/>
                <w:szCs w:val="20"/>
                <w:lang w:val="en-AU"/>
              </w:rPr>
            </w:pPr>
          </w:p>
        </w:tc>
        <w:tc>
          <w:tcPr>
            <w:tcW w:w="3231" w:type="dxa"/>
            <w:tcBorders>
              <w:top w:val="nil"/>
            </w:tcBorders>
          </w:tcPr>
          <w:p w14:paraId="135E0350" w14:textId="77777777" w:rsidR="006145A3" w:rsidRPr="00852D94" w:rsidRDefault="006145A3" w:rsidP="003E4CEC">
            <w:pPr>
              <w:rPr>
                <w:rFonts w:ascii="Times New Roman" w:hAnsi="Times New Roman" w:cs="Times New Roman"/>
                <w:sz w:val="20"/>
                <w:szCs w:val="20"/>
                <w:lang w:val="en-AU"/>
              </w:rPr>
            </w:pPr>
            <w:r w:rsidRPr="00852D94">
              <w:rPr>
                <w:rFonts w:ascii="Times New Roman" w:hAnsi="Times New Roman" w:cs="Times New Roman"/>
                <w:noProof/>
                <w:lang w:eastAsia="en-GB"/>
              </w:rPr>
              <mc:AlternateContent>
                <mc:Choice Requires="wps">
                  <w:drawing>
                    <wp:anchor distT="0" distB="0" distL="114300" distR="114300" simplePos="0" relativeHeight="251664384" behindDoc="0" locked="0" layoutInCell="1" allowOverlap="1" wp14:anchorId="71E82733" wp14:editId="7234B4FA">
                      <wp:simplePos x="0" y="0"/>
                      <wp:positionH relativeFrom="column">
                        <wp:posOffset>-69215</wp:posOffset>
                      </wp:positionH>
                      <wp:positionV relativeFrom="paragraph">
                        <wp:posOffset>165735</wp:posOffset>
                      </wp:positionV>
                      <wp:extent cx="1986280" cy="45720"/>
                      <wp:effectExtent l="12700" t="12700" r="0" b="5080"/>
                      <wp:wrapNone/>
                      <wp:docPr id="21" name="Left-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6280" cy="45720"/>
                              </a:xfrm>
                              <a:prstGeom prst="leftRightArrow">
                                <a:avLst>
                                  <a:gd name="adj1" fmla="val 50000"/>
                                  <a:gd name="adj2" fmla="val 99713"/>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162A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 o:spid="_x0000_s1026" type="#_x0000_t69" style="position:absolute;margin-left:-5.45pt;margin-top:13.05pt;width:156.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" adj="496" fillcolor="#4f81bd" strokecolor="#385d8a" strokeweight="2pt">
                      <v:path arrowok="t"/>
                    </v:shape>
                  </w:pict>
                </mc:Fallback>
              </mc:AlternateContent>
            </w:r>
          </w:p>
        </w:tc>
        <w:tc>
          <w:tcPr>
            <w:tcW w:w="1158" w:type="dxa"/>
          </w:tcPr>
          <w:p w14:paraId="18B1E211" w14:textId="77777777" w:rsidR="006145A3" w:rsidRPr="00852D94" w:rsidRDefault="006145A3" w:rsidP="003E4CEC">
            <w:pPr>
              <w:rPr>
                <w:rFonts w:ascii="Times New Roman" w:hAnsi="Times New Roman" w:cs="Times New Roman"/>
                <w:sz w:val="20"/>
                <w:szCs w:val="20"/>
                <w:lang w:val="en-AU"/>
              </w:rPr>
            </w:pPr>
          </w:p>
        </w:tc>
      </w:tr>
      <w:tr w:rsidR="006145A3" w:rsidRPr="00852D94" w14:paraId="040BB98E" w14:textId="77777777" w:rsidTr="003E4CEC">
        <w:tc>
          <w:tcPr>
            <w:tcW w:w="3397" w:type="dxa"/>
          </w:tcPr>
          <w:p w14:paraId="090F8786" w14:textId="77777777" w:rsidR="006145A3" w:rsidRPr="00852D94" w:rsidRDefault="006145A3" w:rsidP="003E4CEC">
            <w:pPr>
              <w:rPr>
                <w:rFonts w:ascii="Times New Roman" w:hAnsi="Times New Roman" w:cs="Times New Roman"/>
                <w:bCs/>
                <w:sz w:val="20"/>
                <w:szCs w:val="20"/>
                <w:lang w:val="en-AU"/>
              </w:rPr>
            </w:pPr>
            <w:r w:rsidRPr="00852D94">
              <w:rPr>
                <w:rFonts w:ascii="Times New Roman" w:hAnsi="Times New Roman" w:cs="Times New Roman"/>
                <w:bCs/>
                <w:sz w:val="20"/>
                <w:szCs w:val="20"/>
                <w:lang w:val="en-AU"/>
              </w:rPr>
              <w:t xml:space="preserve">New Indigenous contact Languages </w:t>
            </w:r>
          </w:p>
          <w:p w14:paraId="33CED927" w14:textId="77777777" w:rsidR="006145A3" w:rsidRPr="00852D94" w:rsidRDefault="006145A3" w:rsidP="003E4CEC">
            <w:pPr>
              <w:rPr>
                <w:rFonts w:ascii="Times New Roman" w:hAnsi="Times New Roman" w:cs="Times New Roman"/>
                <w:sz w:val="18"/>
                <w:szCs w:val="18"/>
                <w:lang w:val="en-AU"/>
              </w:rPr>
            </w:pPr>
          </w:p>
          <w:p w14:paraId="216D6CDC" w14:textId="77777777" w:rsidR="006145A3" w:rsidRPr="00852D94" w:rsidRDefault="006145A3" w:rsidP="003E4CEC">
            <w:pPr>
              <w:rPr>
                <w:rFonts w:ascii="Times New Roman" w:hAnsi="Times New Roman" w:cs="Times New Roman"/>
                <w:sz w:val="18"/>
                <w:szCs w:val="18"/>
                <w:lang w:val="en-AU"/>
              </w:rPr>
            </w:pPr>
            <w:r w:rsidRPr="00852D94">
              <w:rPr>
                <w:rFonts w:ascii="Times New Roman" w:hAnsi="Times New Roman" w:cs="Times New Roman"/>
                <w:sz w:val="18"/>
                <w:szCs w:val="18"/>
                <w:lang w:val="en-AU"/>
              </w:rPr>
              <w:t>Name?</w:t>
            </w:r>
          </w:p>
        </w:tc>
        <w:tc>
          <w:tcPr>
            <w:tcW w:w="1230" w:type="dxa"/>
          </w:tcPr>
          <w:p w14:paraId="7DF5F688" w14:textId="77777777" w:rsidR="006145A3" w:rsidRPr="00852D94" w:rsidRDefault="006145A3" w:rsidP="003E4CEC">
            <w:pPr>
              <w:rPr>
                <w:rFonts w:ascii="Times New Roman" w:hAnsi="Times New Roman" w:cs="Times New Roman"/>
                <w:sz w:val="20"/>
                <w:szCs w:val="20"/>
                <w:lang w:val="en-AU"/>
              </w:rPr>
            </w:pPr>
          </w:p>
        </w:tc>
        <w:tc>
          <w:tcPr>
            <w:tcW w:w="3231" w:type="dxa"/>
          </w:tcPr>
          <w:p w14:paraId="5FFFAB9A" w14:textId="77777777" w:rsidR="006145A3" w:rsidRPr="00852D94" w:rsidRDefault="006145A3" w:rsidP="003E4CEC">
            <w:pPr>
              <w:rPr>
                <w:rFonts w:ascii="Times New Roman" w:hAnsi="Times New Roman" w:cs="Times New Roman"/>
                <w:sz w:val="20"/>
                <w:szCs w:val="20"/>
                <w:lang w:val="en-AU"/>
              </w:rPr>
            </w:pPr>
            <w:r w:rsidRPr="00852D94">
              <w:rPr>
                <w:rFonts w:ascii="Times New Roman" w:hAnsi="Times New Roman" w:cs="Times New Roman"/>
                <w:noProof/>
                <w:lang w:eastAsia="en-GB"/>
              </w:rPr>
              <mc:AlternateContent>
                <mc:Choice Requires="wps">
                  <w:drawing>
                    <wp:anchor distT="0" distB="0" distL="114300" distR="114300" simplePos="0" relativeHeight="251665408" behindDoc="0" locked="0" layoutInCell="1" allowOverlap="1" wp14:anchorId="6B0FD8EC" wp14:editId="5A01CA8C">
                      <wp:simplePos x="0" y="0"/>
                      <wp:positionH relativeFrom="column">
                        <wp:posOffset>-61595</wp:posOffset>
                      </wp:positionH>
                      <wp:positionV relativeFrom="paragraph">
                        <wp:posOffset>207645</wp:posOffset>
                      </wp:positionV>
                      <wp:extent cx="1976120" cy="45720"/>
                      <wp:effectExtent l="12700" t="12700" r="5080" b="5080"/>
                      <wp:wrapNone/>
                      <wp:docPr id="20" name="Left-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6120" cy="45720"/>
                              </a:xfrm>
                              <a:prstGeom prst="leftRightArrow">
                                <a:avLst>
                                  <a:gd name="adj1" fmla="val 50000"/>
                                  <a:gd name="adj2" fmla="val 99713"/>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1C6ED" id="Left-right Arrow 5" o:spid="_x0000_s1026" type="#_x0000_t69" style="position:absolute;margin-left:-4.85pt;margin-top:16.35pt;width:155.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" adj="498" fillcolor="#4f81bd" strokecolor="#385d8a" strokeweight="2pt">
                      <v:path arrowok="t"/>
                    </v:shape>
                  </w:pict>
                </mc:Fallback>
              </mc:AlternateContent>
            </w:r>
          </w:p>
        </w:tc>
        <w:tc>
          <w:tcPr>
            <w:tcW w:w="1158" w:type="dxa"/>
          </w:tcPr>
          <w:p w14:paraId="6E6717DF" w14:textId="77777777" w:rsidR="006145A3" w:rsidRPr="00852D94" w:rsidRDefault="006145A3" w:rsidP="003E4CEC">
            <w:pPr>
              <w:rPr>
                <w:rFonts w:ascii="Times New Roman" w:hAnsi="Times New Roman" w:cs="Times New Roman"/>
                <w:sz w:val="20"/>
                <w:szCs w:val="20"/>
                <w:lang w:val="en-AU"/>
              </w:rPr>
            </w:pPr>
          </w:p>
        </w:tc>
      </w:tr>
      <w:tr w:rsidR="006145A3" w:rsidRPr="00852D94" w14:paraId="2462C139" w14:textId="77777777" w:rsidTr="003E4CEC">
        <w:tc>
          <w:tcPr>
            <w:tcW w:w="3397" w:type="dxa"/>
          </w:tcPr>
          <w:p w14:paraId="50DA33A8" w14:textId="77777777" w:rsidR="006145A3" w:rsidRPr="00852D94" w:rsidRDefault="006145A3" w:rsidP="003E4CEC">
            <w:pPr>
              <w:rPr>
                <w:rFonts w:ascii="Times New Roman" w:hAnsi="Times New Roman" w:cs="Times New Roman"/>
                <w:sz w:val="20"/>
                <w:szCs w:val="20"/>
                <w:lang w:val="en-AU"/>
              </w:rPr>
            </w:pPr>
            <w:r w:rsidRPr="00852D94">
              <w:rPr>
                <w:rFonts w:ascii="Times New Roman" w:hAnsi="Times New Roman" w:cs="Times New Roman"/>
                <w:bCs/>
                <w:sz w:val="20"/>
                <w:szCs w:val="20"/>
                <w:lang w:val="en-AU"/>
              </w:rPr>
              <w:t>Indigenised varieties of national languages</w:t>
            </w:r>
            <w:r w:rsidRPr="00852D94">
              <w:rPr>
                <w:rFonts w:ascii="Times New Roman" w:hAnsi="Times New Roman" w:cs="Times New Roman"/>
                <w:sz w:val="20"/>
                <w:szCs w:val="20"/>
                <w:lang w:val="en-AU"/>
              </w:rPr>
              <w:t xml:space="preserve"> </w:t>
            </w:r>
          </w:p>
          <w:p w14:paraId="5DFCA146" w14:textId="77777777" w:rsidR="006145A3" w:rsidRPr="00852D94" w:rsidRDefault="006145A3" w:rsidP="003E4CEC">
            <w:pPr>
              <w:rPr>
                <w:rFonts w:ascii="Times New Roman" w:hAnsi="Times New Roman" w:cs="Times New Roman"/>
                <w:sz w:val="18"/>
                <w:szCs w:val="18"/>
                <w:lang w:val="en-AU"/>
              </w:rPr>
            </w:pPr>
          </w:p>
          <w:p w14:paraId="3FC3F430" w14:textId="77777777" w:rsidR="006145A3" w:rsidRPr="00852D94" w:rsidRDefault="006145A3" w:rsidP="003E4CEC">
            <w:pPr>
              <w:rPr>
                <w:rFonts w:ascii="Times New Roman" w:hAnsi="Times New Roman" w:cs="Times New Roman"/>
                <w:sz w:val="20"/>
                <w:szCs w:val="20"/>
                <w:lang w:val="en-AU"/>
              </w:rPr>
            </w:pPr>
            <w:r w:rsidRPr="00852D94">
              <w:rPr>
                <w:rFonts w:ascii="Times New Roman" w:hAnsi="Times New Roman" w:cs="Times New Roman"/>
                <w:sz w:val="18"/>
                <w:szCs w:val="18"/>
                <w:lang w:val="en-AU"/>
              </w:rPr>
              <w:t>Name?</w:t>
            </w:r>
          </w:p>
        </w:tc>
        <w:tc>
          <w:tcPr>
            <w:tcW w:w="1230" w:type="dxa"/>
          </w:tcPr>
          <w:p w14:paraId="5B7BB5A5" w14:textId="77777777" w:rsidR="006145A3" w:rsidRPr="00852D94" w:rsidRDefault="006145A3" w:rsidP="003E4CEC">
            <w:pPr>
              <w:rPr>
                <w:rFonts w:ascii="Times New Roman" w:hAnsi="Times New Roman" w:cs="Times New Roman"/>
                <w:sz w:val="20"/>
                <w:szCs w:val="20"/>
                <w:lang w:val="en-AU"/>
              </w:rPr>
            </w:pPr>
          </w:p>
        </w:tc>
        <w:tc>
          <w:tcPr>
            <w:tcW w:w="3231" w:type="dxa"/>
          </w:tcPr>
          <w:p w14:paraId="33F45D79" w14:textId="77777777" w:rsidR="006145A3" w:rsidRPr="00852D94" w:rsidRDefault="006145A3" w:rsidP="003E4CEC">
            <w:pPr>
              <w:rPr>
                <w:rFonts w:ascii="Times New Roman" w:hAnsi="Times New Roman" w:cs="Times New Roman"/>
                <w:sz w:val="20"/>
                <w:szCs w:val="20"/>
                <w:lang w:val="en-AU"/>
              </w:rPr>
            </w:pPr>
            <w:r w:rsidRPr="00852D94">
              <w:rPr>
                <w:rFonts w:ascii="Times New Roman" w:hAnsi="Times New Roman" w:cs="Times New Roman"/>
                <w:noProof/>
                <w:lang w:eastAsia="en-GB"/>
              </w:rPr>
              <mc:AlternateContent>
                <mc:Choice Requires="wps">
                  <w:drawing>
                    <wp:anchor distT="0" distB="0" distL="114300" distR="114300" simplePos="0" relativeHeight="251667456" behindDoc="0" locked="0" layoutInCell="1" allowOverlap="1" wp14:anchorId="11C43D98" wp14:editId="307BB6CD">
                      <wp:simplePos x="0" y="0"/>
                      <wp:positionH relativeFrom="column">
                        <wp:posOffset>-99060</wp:posOffset>
                      </wp:positionH>
                      <wp:positionV relativeFrom="paragraph">
                        <wp:posOffset>185420</wp:posOffset>
                      </wp:positionV>
                      <wp:extent cx="2010410" cy="45720"/>
                      <wp:effectExtent l="12700" t="12700" r="0" b="5080"/>
                      <wp:wrapNone/>
                      <wp:docPr id="19" name="Left-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0410" cy="45720"/>
                              </a:xfrm>
                              <a:prstGeom prst="leftRightArrow">
                                <a:avLst>
                                  <a:gd name="adj1" fmla="val 50000"/>
                                  <a:gd name="adj2" fmla="val 99713"/>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A3186" id="Left-right Arrow 6" o:spid="_x0000_s1026" type="#_x0000_t69" style="position:absolute;margin-left:-7.8pt;margin-top:14.6pt;width:158.3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" adj="490" fillcolor="#4f81bd" strokecolor="#385d8a" strokeweight="2pt">
                      <v:path arrowok="t"/>
                    </v:shape>
                  </w:pict>
                </mc:Fallback>
              </mc:AlternateContent>
            </w:r>
          </w:p>
        </w:tc>
        <w:tc>
          <w:tcPr>
            <w:tcW w:w="1158" w:type="dxa"/>
          </w:tcPr>
          <w:p w14:paraId="40B2BF54" w14:textId="77777777" w:rsidR="006145A3" w:rsidRPr="00852D94" w:rsidRDefault="006145A3" w:rsidP="003E4CEC">
            <w:pPr>
              <w:rPr>
                <w:rFonts w:ascii="Times New Roman" w:hAnsi="Times New Roman" w:cs="Times New Roman"/>
                <w:sz w:val="20"/>
                <w:szCs w:val="20"/>
                <w:lang w:val="en-AU"/>
              </w:rPr>
            </w:pPr>
          </w:p>
        </w:tc>
      </w:tr>
      <w:tr w:rsidR="006145A3" w:rsidRPr="00852D94" w14:paraId="2796D8B9" w14:textId="77777777" w:rsidTr="003E4CEC">
        <w:tc>
          <w:tcPr>
            <w:tcW w:w="3397" w:type="dxa"/>
          </w:tcPr>
          <w:p w14:paraId="7B9B7B06" w14:textId="77777777" w:rsidR="006145A3" w:rsidRPr="00852D94" w:rsidRDefault="006145A3" w:rsidP="003E4CEC">
            <w:pPr>
              <w:rPr>
                <w:rFonts w:ascii="Times New Roman" w:hAnsi="Times New Roman" w:cs="Times New Roman"/>
                <w:bCs/>
                <w:sz w:val="20"/>
                <w:szCs w:val="20"/>
                <w:lang w:val="en-AU"/>
              </w:rPr>
            </w:pPr>
            <w:r w:rsidRPr="00852D94">
              <w:rPr>
                <w:rFonts w:ascii="Times New Roman" w:hAnsi="Times New Roman" w:cs="Times New Roman"/>
                <w:bCs/>
                <w:sz w:val="20"/>
                <w:szCs w:val="20"/>
                <w:lang w:val="en-AU"/>
              </w:rPr>
              <w:t xml:space="preserve">Standard national languages </w:t>
            </w:r>
          </w:p>
          <w:p w14:paraId="16CB94C9" w14:textId="77777777" w:rsidR="006145A3" w:rsidRPr="00852D94" w:rsidRDefault="006145A3" w:rsidP="003E4CEC">
            <w:pPr>
              <w:rPr>
                <w:rFonts w:ascii="Times New Roman" w:hAnsi="Times New Roman" w:cs="Times New Roman"/>
                <w:sz w:val="18"/>
                <w:szCs w:val="18"/>
                <w:lang w:val="en-AU"/>
              </w:rPr>
            </w:pPr>
          </w:p>
          <w:p w14:paraId="1B17A363" w14:textId="77777777" w:rsidR="006145A3" w:rsidRPr="00852D94" w:rsidRDefault="006145A3" w:rsidP="003E4CEC">
            <w:pPr>
              <w:rPr>
                <w:rFonts w:ascii="Times New Roman" w:hAnsi="Times New Roman" w:cs="Times New Roman"/>
                <w:sz w:val="18"/>
                <w:szCs w:val="18"/>
                <w:lang w:val="en-AU"/>
              </w:rPr>
            </w:pPr>
            <w:r w:rsidRPr="00852D94">
              <w:rPr>
                <w:rFonts w:ascii="Times New Roman" w:hAnsi="Times New Roman" w:cs="Times New Roman"/>
                <w:sz w:val="18"/>
                <w:szCs w:val="18"/>
                <w:lang w:val="en-AU"/>
              </w:rPr>
              <w:t>Name?</w:t>
            </w:r>
          </w:p>
        </w:tc>
        <w:tc>
          <w:tcPr>
            <w:tcW w:w="1230" w:type="dxa"/>
          </w:tcPr>
          <w:p w14:paraId="74E3C190" w14:textId="77777777" w:rsidR="006145A3" w:rsidRPr="00852D94" w:rsidRDefault="006145A3" w:rsidP="003E4CEC">
            <w:pPr>
              <w:rPr>
                <w:rFonts w:ascii="Times New Roman" w:hAnsi="Times New Roman" w:cs="Times New Roman"/>
                <w:sz w:val="20"/>
                <w:szCs w:val="20"/>
                <w:lang w:val="en-AU"/>
              </w:rPr>
            </w:pPr>
          </w:p>
        </w:tc>
        <w:tc>
          <w:tcPr>
            <w:tcW w:w="3231" w:type="dxa"/>
          </w:tcPr>
          <w:p w14:paraId="60859EC8" w14:textId="77777777" w:rsidR="006145A3" w:rsidRPr="00852D94" w:rsidRDefault="006145A3" w:rsidP="003E4CEC">
            <w:pPr>
              <w:rPr>
                <w:rFonts w:ascii="Times New Roman" w:hAnsi="Times New Roman" w:cs="Times New Roman"/>
                <w:sz w:val="20"/>
                <w:szCs w:val="20"/>
                <w:lang w:val="en-AU"/>
              </w:rPr>
            </w:pPr>
            <w:r w:rsidRPr="00852D94">
              <w:rPr>
                <w:rFonts w:ascii="Times New Roman" w:hAnsi="Times New Roman" w:cs="Times New Roman"/>
                <w:noProof/>
                <w:lang w:eastAsia="en-GB"/>
              </w:rPr>
              <mc:AlternateContent>
                <mc:Choice Requires="wps">
                  <w:drawing>
                    <wp:anchor distT="0" distB="0" distL="114300" distR="114300" simplePos="0" relativeHeight="251666432" behindDoc="0" locked="0" layoutInCell="1" allowOverlap="1" wp14:anchorId="1520B45C" wp14:editId="22B3F7C1">
                      <wp:simplePos x="0" y="0"/>
                      <wp:positionH relativeFrom="column">
                        <wp:posOffset>-69215</wp:posOffset>
                      </wp:positionH>
                      <wp:positionV relativeFrom="paragraph">
                        <wp:posOffset>152400</wp:posOffset>
                      </wp:positionV>
                      <wp:extent cx="1978025" cy="45720"/>
                      <wp:effectExtent l="12700" t="12700" r="3175" b="5080"/>
                      <wp:wrapNone/>
                      <wp:docPr id="18" name="Left-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8025" cy="45720"/>
                              </a:xfrm>
                              <a:prstGeom prst="leftRightArrow">
                                <a:avLst>
                                  <a:gd name="adj1" fmla="val 50000"/>
                                  <a:gd name="adj2" fmla="val 99713"/>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06434" id="Left-right Arrow 7" o:spid="_x0000_s1026" type="#_x0000_t69" style="position:absolute;margin-left:-5.45pt;margin-top:12pt;width:155.7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" adj="498" fillcolor="#4f81bd" strokecolor="#385d8a" strokeweight="2pt">
                      <v:path arrowok="t"/>
                    </v:shape>
                  </w:pict>
                </mc:Fallback>
              </mc:AlternateContent>
            </w:r>
          </w:p>
        </w:tc>
        <w:tc>
          <w:tcPr>
            <w:tcW w:w="1158" w:type="dxa"/>
          </w:tcPr>
          <w:p w14:paraId="01294709" w14:textId="77777777" w:rsidR="006145A3" w:rsidRPr="00852D94" w:rsidRDefault="006145A3" w:rsidP="003E4CEC">
            <w:pPr>
              <w:rPr>
                <w:rFonts w:ascii="Times New Roman" w:hAnsi="Times New Roman" w:cs="Times New Roman"/>
                <w:sz w:val="20"/>
                <w:szCs w:val="20"/>
                <w:lang w:val="en-AU"/>
              </w:rPr>
            </w:pPr>
          </w:p>
        </w:tc>
      </w:tr>
    </w:tbl>
    <w:p w14:paraId="6104EA60" w14:textId="43BF85FF" w:rsidR="006145A3" w:rsidRPr="00852D94" w:rsidRDefault="00543D85" w:rsidP="006145A3">
      <w:pPr>
        <w:rPr>
          <w:rFonts w:ascii="Times New Roman" w:hAnsi="Times New Roman" w:cs="Times New Roman"/>
          <w:sz w:val="18"/>
          <w:szCs w:val="18"/>
        </w:rPr>
      </w:pPr>
      <w:r>
        <w:rPr>
          <w:rFonts w:ascii="Times New Roman" w:hAnsi="Times New Roman" w:cs="Times New Roman"/>
          <w:sz w:val="18"/>
          <w:szCs w:val="18"/>
        </w:rPr>
        <w:t>Source</w:t>
      </w:r>
      <w:r w:rsidR="006145A3" w:rsidRPr="00852D94">
        <w:rPr>
          <w:rFonts w:ascii="Times New Roman" w:hAnsi="Times New Roman" w:cs="Times New Roman"/>
          <w:sz w:val="18"/>
          <w:szCs w:val="18"/>
        </w:rPr>
        <w:t xml:space="preserve">: Adapted from </w:t>
      </w:r>
      <w:sdt>
        <w:sdtPr>
          <w:rPr>
            <w:rFonts w:ascii="Times New Roman" w:hAnsi="Times New Roman" w:cs="Times New Roman"/>
            <w:sz w:val="18"/>
            <w:szCs w:val="18"/>
          </w:rPr>
          <w:id w:val="554439097"/>
          <w:citation/>
        </w:sdtPr>
        <w:sdtEndPr/>
        <w:sdtContent>
          <w:r w:rsidR="00307117">
            <w:rPr>
              <w:rFonts w:ascii="Times New Roman" w:hAnsi="Times New Roman" w:cs="Times New Roman"/>
              <w:sz w:val="18"/>
              <w:szCs w:val="18"/>
            </w:rPr>
            <w:fldChar w:fldCharType="begin"/>
          </w:r>
          <w:r w:rsidR="00307117">
            <w:rPr>
              <w:rFonts w:ascii="Times New Roman" w:hAnsi="Times New Roman" w:cs="Times New Roman"/>
              <w:sz w:val="18"/>
              <w:szCs w:val="18"/>
            </w:rPr>
            <w:instrText xml:space="preserve"> CITATION Ang193 \l 2057 </w:instrText>
          </w:r>
          <w:r w:rsidR="00307117">
            <w:rPr>
              <w:rFonts w:ascii="Times New Roman" w:hAnsi="Times New Roman" w:cs="Times New Roman"/>
              <w:sz w:val="18"/>
              <w:szCs w:val="18"/>
            </w:rPr>
            <w:fldChar w:fldCharType="separate"/>
          </w:r>
          <w:r w:rsidR="00307117" w:rsidRPr="00307117">
            <w:rPr>
              <w:rFonts w:ascii="Times New Roman" w:hAnsi="Times New Roman" w:cs="Times New Roman"/>
              <w:noProof/>
              <w:sz w:val="18"/>
              <w:szCs w:val="18"/>
            </w:rPr>
            <w:t>(</w:t>
          </w:r>
          <w:bookmarkStart w:id="309" w:name="Ang193_216"/>
          <w:r w:rsidR="00307117" w:rsidRPr="00307117">
            <w:rPr>
              <w:rFonts w:ascii="Times New Roman" w:hAnsi="Times New Roman" w:cs="Times New Roman"/>
              <w:noProof/>
              <w:sz w:val="18"/>
              <w:szCs w:val="18"/>
            </w:rPr>
            <w:t>Angelo, Hudson and Macqueen, 2019</w:t>
          </w:r>
          <w:r w:rsidR="00307117" w:rsidRPr="00307117">
            <w:rPr>
              <w:rFonts w:ascii="Times New Roman" w:hAnsi="Times New Roman" w:cs="Times New Roman"/>
              <w:noProof/>
              <w:sz w:val="18"/>
              <w:szCs w:val="18"/>
              <w:vertAlign w:val="subscript"/>
            </w:rPr>
            <w:t>[216]</w:t>
          </w:r>
          <w:r w:rsidR="00307117" w:rsidRPr="00307117">
            <w:rPr>
              <w:rFonts w:ascii="Times New Roman" w:hAnsi="Times New Roman" w:cs="Times New Roman"/>
              <w:noProof/>
              <w:sz w:val="18"/>
              <w:szCs w:val="18"/>
            </w:rPr>
            <w:t>)</w:t>
          </w:r>
          <w:bookmarkEnd w:id="309"/>
          <w:r w:rsidR="00307117">
            <w:rPr>
              <w:rFonts w:ascii="Times New Roman" w:hAnsi="Times New Roman" w:cs="Times New Roman"/>
              <w:sz w:val="18"/>
              <w:szCs w:val="18"/>
            </w:rPr>
            <w:fldChar w:fldCharType="end"/>
          </w:r>
        </w:sdtContent>
      </w:sdt>
    </w:p>
    <w:p w14:paraId="14A060EC" w14:textId="77777777" w:rsidR="006145A3" w:rsidRPr="00501540" w:rsidRDefault="006145A3" w:rsidP="006145A3">
      <w:pPr>
        <w:pStyle w:val="Heading3"/>
        <w:keepNext w:val="0"/>
        <w:keepLines w:val="0"/>
        <w:numPr>
          <w:ilvl w:val="2"/>
          <w:numId w:val="22"/>
        </w:numPr>
        <w:rPr>
          <w:rFonts w:ascii="Times New Roman" w:hAnsi="Times New Roman" w:cs="Times New Roman"/>
        </w:rPr>
      </w:pPr>
      <w:r w:rsidRPr="00501540">
        <w:rPr>
          <w:rFonts w:ascii="Times New Roman" w:hAnsi="Times New Roman" w:cs="Times New Roman"/>
        </w:rPr>
        <w:t>2) Co-design and implement language data collection and feedback</w:t>
      </w:r>
    </w:p>
    <w:p w14:paraId="67B2F913" w14:textId="77777777" w:rsidR="006145A3" w:rsidRPr="00396601" w:rsidRDefault="006145A3" w:rsidP="006145A3">
      <w:pPr>
        <w:pStyle w:val="Para0"/>
      </w:pPr>
      <w:r w:rsidRPr="00396601">
        <w:t>The process for gathering information about local language use should be co-designed and implemented with Indigenous staff and Indigenous community members regarding:</w:t>
      </w:r>
    </w:p>
    <w:p w14:paraId="580A48B5" w14:textId="4F41CFB0" w:rsidR="006145A3" w:rsidRPr="0042139F" w:rsidRDefault="00307117" w:rsidP="006145A3">
      <w:pPr>
        <w:pStyle w:val="BulletedList"/>
      </w:pPr>
      <w:r>
        <w:t>purpose: e.g. </w:t>
      </w:r>
      <w:r w:rsidR="006145A3" w:rsidRPr="0042139F">
        <w:t>understanding local families' language situations informs schools programmes, builds better school-community relationships;</w:t>
      </w:r>
    </w:p>
    <w:p w14:paraId="1D943CCB" w14:textId="0093681F" w:rsidR="006145A3" w:rsidRPr="0042139F" w:rsidRDefault="00307117" w:rsidP="006145A3">
      <w:pPr>
        <w:pStyle w:val="BulletedList"/>
      </w:pPr>
      <w:r>
        <w:t>process: e.g. </w:t>
      </w:r>
      <w:r w:rsidR="006145A3" w:rsidRPr="0042139F">
        <w:t>respectful conversations with Indigenous families by Indigenous staff;</w:t>
      </w:r>
    </w:p>
    <w:p w14:paraId="5AED06F2" w14:textId="43DB2F8E" w:rsidR="006145A3" w:rsidRPr="0042139F" w:rsidRDefault="00307117" w:rsidP="006145A3">
      <w:pPr>
        <w:pStyle w:val="BulletedList"/>
      </w:pPr>
      <w:r>
        <w:t>community feedback: e.g. </w:t>
      </w:r>
      <w:r w:rsidR="006145A3" w:rsidRPr="0042139F">
        <w:t xml:space="preserve">do Indigenous staff and community feel that staff awareness about local language use has increased? </w:t>
      </w:r>
      <w:r w:rsidR="00DC1469">
        <w:t xml:space="preserve">Has teaching and learning improved? Why/not? </w:t>
      </w:r>
    </w:p>
    <w:p w14:paraId="52304B87" w14:textId="77777777" w:rsidR="006145A3" w:rsidRPr="00501540" w:rsidRDefault="006145A3" w:rsidP="006145A3">
      <w:pPr>
        <w:pStyle w:val="Heading3"/>
        <w:keepNext w:val="0"/>
        <w:keepLines w:val="0"/>
        <w:numPr>
          <w:ilvl w:val="2"/>
          <w:numId w:val="22"/>
        </w:numPr>
        <w:rPr>
          <w:rFonts w:ascii="Times New Roman" w:hAnsi="Times New Roman" w:cs="Times New Roman"/>
        </w:rPr>
      </w:pPr>
      <w:r w:rsidRPr="00501540">
        <w:rPr>
          <w:rFonts w:ascii="Times New Roman" w:hAnsi="Times New Roman" w:cs="Times New Roman"/>
        </w:rPr>
        <w:t>3) School responses to Indigenous students' language data</w:t>
      </w:r>
    </w:p>
    <w:p w14:paraId="21CE5D2D" w14:textId="24277D3F" w:rsidR="006145A3" w:rsidRDefault="006145A3" w:rsidP="006145A3">
      <w:pPr>
        <w:pStyle w:val="Para0"/>
      </w:pPr>
      <w:r w:rsidRPr="00396601">
        <w:t xml:space="preserve">The quality of educational experiences for Indigenous students, including Indigenous languages programmes, is linked to whether local educational responses take account of the local language ecology. Schools can match school programmes with quality language data obtained with community input, as in </w:t>
      </w:r>
      <w:r w:rsidR="00307117">
        <w:fldChar w:fldCharType="begin"/>
      </w:r>
      <w:r w:rsidR="00307117">
        <w:instrText xml:space="preserve"> REF _Ref85908316 \h </w:instrText>
      </w:r>
      <w:r w:rsidR="00307117">
        <w:fldChar w:fldCharType="separate"/>
      </w:r>
      <w:r w:rsidR="00CA5B8D">
        <w:t>Figure </w:t>
      </w:r>
      <w:r w:rsidR="00CA5B8D">
        <w:rPr>
          <w:noProof/>
        </w:rPr>
        <w:t>8</w:t>
      </w:r>
      <w:r w:rsidR="00CA5B8D">
        <w:t>.</w:t>
      </w:r>
      <w:r w:rsidR="00CA5B8D">
        <w:rPr>
          <w:noProof/>
        </w:rPr>
        <w:t>2</w:t>
      </w:r>
      <w:r w:rsidR="00307117">
        <w:fldChar w:fldCharType="end"/>
      </w:r>
      <w:r w:rsidR="00307117">
        <w:t xml:space="preserve"> </w:t>
      </w:r>
      <w:r w:rsidRPr="00396601">
        <w:t>below.</w:t>
      </w:r>
    </w:p>
    <w:p w14:paraId="6014622B" w14:textId="22113CA9" w:rsidR="00307117" w:rsidRDefault="00307117" w:rsidP="00307F9E">
      <w:pPr>
        <w:pStyle w:val="Caption"/>
      </w:pPr>
      <w:bookmarkStart w:id="310" w:name="_Ref85908316"/>
      <w:bookmarkStart w:id="311" w:name="_Toc95824131"/>
      <w:r>
        <w:t>Figure </w:t>
      </w:r>
      <w:r>
        <w:rPr>
          <w:noProof/>
        </w:rPr>
        <w:fldChar w:fldCharType="begin"/>
      </w:r>
      <w:r>
        <w:rPr>
          <w:noProof/>
        </w:rPr>
        <w:instrText xml:space="preserve"> STYLEREF 1 \s </w:instrText>
      </w:r>
      <w:r>
        <w:rPr>
          <w:noProof/>
        </w:rPr>
        <w:fldChar w:fldCharType="separate"/>
      </w:r>
      <w:r w:rsidR="00CA5B8D">
        <w:rPr>
          <w:noProof/>
        </w:rPr>
        <w:t>8</w:t>
      </w:r>
      <w:r>
        <w:rPr>
          <w:noProof/>
        </w:rPr>
        <w:fldChar w:fldCharType="end"/>
      </w:r>
      <w:r>
        <w:t>.</w:t>
      </w:r>
      <w:r>
        <w:rPr>
          <w:noProof/>
        </w:rPr>
        <w:fldChar w:fldCharType="begin"/>
      </w:r>
      <w:r>
        <w:rPr>
          <w:noProof/>
        </w:rPr>
        <w:instrText xml:space="preserve"> SEQ Figure \* ARABIC \s 1 </w:instrText>
      </w:r>
      <w:r>
        <w:rPr>
          <w:noProof/>
        </w:rPr>
        <w:fldChar w:fldCharType="separate"/>
      </w:r>
      <w:r w:rsidR="00CA5B8D">
        <w:rPr>
          <w:noProof/>
        </w:rPr>
        <w:t>2</w:t>
      </w:r>
      <w:r>
        <w:rPr>
          <w:noProof/>
        </w:rPr>
        <w:fldChar w:fldCharType="end"/>
      </w:r>
      <w:bookmarkEnd w:id="310"/>
      <w:r>
        <w:t xml:space="preserve">. </w:t>
      </w:r>
      <w:r w:rsidRPr="00307117">
        <w:t>How student languages are supported by the school</w:t>
      </w:r>
      <w:bookmarkEnd w:id="311"/>
    </w:p>
    <w:tbl>
      <w:tblPr>
        <w:tblW w:w="0" w:type="auto"/>
        <w:tblLook w:val="04A0" w:firstRow="1" w:lastRow="0" w:firstColumn="1" w:lastColumn="0" w:noHBand="0" w:noVBand="1"/>
      </w:tblPr>
      <w:tblGrid>
        <w:gridCol w:w="4106"/>
        <w:gridCol w:w="4910"/>
      </w:tblGrid>
      <w:tr w:rsidR="006145A3" w:rsidRPr="00852D94" w14:paraId="10AF09F7" w14:textId="77777777" w:rsidTr="003E4CEC">
        <w:tc>
          <w:tcPr>
            <w:tcW w:w="4106" w:type="dxa"/>
          </w:tcPr>
          <w:p w14:paraId="1E7B8DC4" w14:textId="77777777" w:rsidR="006145A3" w:rsidRPr="00307117" w:rsidRDefault="006145A3" w:rsidP="00307117">
            <w:pPr>
              <w:pStyle w:val="TableColumn"/>
              <w:rPr>
                <w:lang w:val="en-AU"/>
              </w:rPr>
            </w:pPr>
            <w:r w:rsidRPr="00307117">
              <w:rPr>
                <w:lang w:val="en-AU"/>
              </w:rPr>
              <w:t>Student's languages</w:t>
            </w:r>
          </w:p>
        </w:tc>
        <w:tc>
          <w:tcPr>
            <w:tcW w:w="4910" w:type="dxa"/>
          </w:tcPr>
          <w:p w14:paraId="04FA4829" w14:textId="77777777" w:rsidR="006145A3" w:rsidRPr="00307117" w:rsidRDefault="006145A3" w:rsidP="00307117">
            <w:pPr>
              <w:pStyle w:val="TableColumn"/>
              <w:rPr>
                <w:lang w:val="en-AU"/>
              </w:rPr>
            </w:pPr>
            <w:r w:rsidRPr="00307117">
              <w:rPr>
                <w:lang w:val="en-AU"/>
              </w:rPr>
              <w:t>How is each language acknowledged and supported in this student's schooling?</w:t>
            </w:r>
          </w:p>
        </w:tc>
      </w:tr>
      <w:tr w:rsidR="006145A3" w:rsidRPr="00852D94" w14:paraId="1C25847E" w14:textId="77777777" w:rsidTr="003E4CEC">
        <w:tc>
          <w:tcPr>
            <w:tcW w:w="4106" w:type="dxa"/>
          </w:tcPr>
          <w:p w14:paraId="261DFDA2" w14:textId="77777777" w:rsidR="006145A3" w:rsidRPr="00852D94" w:rsidRDefault="006145A3" w:rsidP="00307117">
            <w:pPr>
              <w:pStyle w:val="TableRow"/>
              <w:rPr>
                <w:lang w:val="en-AU"/>
              </w:rPr>
            </w:pPr>
            <w:r w:rsidRPr="00852D94">
              <w:rPr>
                <w:lang w:val="en-AU"/>
              </w:rPr>
              <w:t>Which Indigenous language group(s)/tribes does the Indigenous student belong to?</w:t>
            </w:r>
          </w:p>
          <w:p w14:paraId="6797EC77" w14:textId="77777777" w:rsidR="006145A3" w:rsidRPr="00852D94" w:rsidRDefault="006145A3" w:rsidP="00307117">
            <w:pPr>
              <w:pStyle w:val="TableRow"/>
              <w:rPr>
                <w:lang w:val="en-AU"/>
              </w:rPr>
            </w:pPr>
            <w:r w:rsidRPr="00852D94">
              <w:rPr>
                <w:sz w:val="18"/>
                <w:szCs w:val="18"/>
                <w:lang w:val="en-AU"/>
              </w:rPr>
              <w:t>Name(s)?</w:t>
            </w:r>
          </w:p>
        </w:tc>
        <w:tc>
          <w:tcPr>
            <w:tcW w:w="4910" w:type="dxa"/>
          </w:tcPr>
          <w:p w14:paraId="4A578F69" w14:textId="77777777" w:rsidR="006145A3" w:rsidRPr="00852D94" w:rsidRDefault="006145A3" w:rsidP="003E4CEC">
            <w:pPr>
              <w:rPr>
                <w:rFonts w:ascii="Times New Roman" w:hAnsi="Times New Roman" w:cs="Times New Roman"/>
                <w:lang w:val="en-AU"/>
              </w:rPr>
            </w:pPr>
          </w:p>
        </w:tc>
      </w:tr>
      <w:tr w:rsidR="006145A3" w:rsidRPr="00852D94" w14:paraId="64E40E4A" w14:textId="77777777" w:rsidTr="003E4CEC">
        <w:tc>
          <w:tcPr>
            <w:tcW w:w="4106" w:type="dxa"/>
          </w:tcPr>
          <w:p w14:paraId="665884FA" w14:textId="77777777" w:rsidR="006145A3" w:rsidRPr="00852D94" w:rsidRDefault="006145A3" w:rsidP="00307117">
            <w:pPr>
              <w:pStyle w:val="TableRow"/>
              <w:rPr>
                <w:lang w:val="en-AU"/>
              </w:rPr>
            </w:pPr>
            <w:r w:rsidRPr="00852D94">
              <w:rPr>
                <w:lang w:val="en-AU"/>
              </w:rPr>
              <w:t>Which language(s) does the student speak as a mother tongue/first language?</w:t>
            </w:r>
          </w:p>
          <w:p w14:paraId="6CF2554A" w14:textId="77777777" w:rsidR="006145A3" w:rsidRPr="00852D94" w:rsidRDefault="006145A3" w:rsidP="00307117">
            <w:pPr>
              <w:pStyle w:val="TableRow"/>
              <w:rPr>
                <w:lang w:val="en-AU"/>
              </w:rPr>
            </w:pPr>
            <w:r w:rsidRPr="00852D94">
              <w:rPr>
                <w:sz w:val="18"/>
                <w:szCs w:val="18"/>
                <w:lang w:val="en-AU"/>
              </w:rPr>
              <w:t>Name(s)?</w:t>
            </w:r>
          </w:p>
        </w:tc>
        <w:tc>
          <w:tcPr>
            <w:tcW w:w="4910" w:type="dxa"/>
          </w:tcPr>
          <w:p w14:paraId="27BEFC5C" w14:textId="77777777" w:rsidR="006145A3" w:rsidRPr="00852D94" w:rsidRDefault="006145A3" w:rsidP="003E4CEC">
            <w:pPr>
              <w:rPr>
                <w:rFonts w:ascii="Times New Roman" w:hAnsi="Times New Roman" w:cs="Times New Roman"/>
                <w:lang w:val="en-AU"/>
              </w:rPr>
            </w:pPr>
          </w:p>
        </w:tc>
      </w:tr>
      <w:tr w:rsidR="006145A3" w:rsidRPr="00852D94" w14:paraId="3B10AF0A" w14:textId="77777777" w:rsidTr="003E4CEC">
        <w:tc>
          <w:tcPr>
            <w:tcW w:w="4106" w:type="dxa"/>
          </w:tcPr>
          <w:p w14:paraId="1C0527EB" w14:textId="77777777" w:rsidR="006145A3" w:rsidRPr="00852D94" w:rsidRDefault="006145A3" w:rsidP="00307117">
            <w:pPr>
              <w:pStyle w:val="TableRow"/>
              <w:rPr>
                <w:lang w:val="en-AU"/>
              </w:rPr>
            </w:pPr>
            <w:r w:rsidRPr="00852D94">
              <w:rPr>
                <w:lang w:val="en-AU"/>
              </w:rPr>
              <w:t xml:space="preserve">Which language(s) is student learning as additional/second languages? </w:t>
            </w:r>
          </w:p>
          <w:p w14:paraId="0CD91F97" w14:textId="77777777" w:rsidR="006145A3" w:rsidRPr="00852D94" w:rsidRDefault="006145A3" w:rsidP="00307117">
            <w:pPr>
              <w:pStyle w:val="TableRow"/>
              <w:rPr>
                <w:lang w:val="en-AU"/>
              </w:rPr>
            </w:pPr>
            <w:r w:rsidRPr="00852D94">
              <w:rPr>
                <w:sz w:val="18"/>
                <w:szCs w:val="18"/>
                <w:lang w:val="en-AU"/>
              </w:rPr>
              <w:t>Name(s)?</w:t>
            </w:r>
          </w:p>
        </w:tc>
        <w:tc>
          <w:tcPr>
            <w:tcW w:w="4910" w:type="dxa"/>
          </w:tcPr>
          <w:p w14:paraId="009DA6B2" w14:textId="77777777" w:rsidR="006145A3" w:rsidRPr="00852D94" w:rsidRDefault="006145A3" w:rsidP="003E4CEC">
            <w:pPr>
              <w:rPr>
                <w:rFonts w:ascii="Times New Roman" w:hAnsi="Times New Roman" w:cs="Times New Roman"/>
                <w:lang w:val="en-AU"/>
              </w:rPr>
            </w:pPr>
          </w:p>
        </w:tc>
      </w:tr>
    </w:tbl>
    <w:p w14:paraId="0A17EB34" w14:textId="77777777" w:rsidR="006145A3" w:rsidRPr="00AE4361" w:rsidRDefault="006145A3" w:rsidP="006145A3">
      <w:pPr>
        <w:pStyle w:val="Heading2"/>
        <w:numPr>
          <w:ilvl w:val="1"/>
          <w:numId w:val="22"/>
        </w:numPr>
      </w:pPr>
      <w:bookmarkStart w:id="312" w:name="_Ref43890931"/>
      <w:bookmarkStart w:id="313" w:name="_Toc82093586"/>
      <w:bookmarkStart w:id="314" w:name="_Toc95824122"/>
      <w:r w:rsidRPr="00AE4361">
        <w:lastRenderedPageBreak/>
        <w:t xml:space="preserve">Reflective </w:t>
      </w:r>
      <w:r w:rsidRPr="0042139F">
        <w:t>practices</w:t>
      </w:r>
      <w:r w:rsidRPr="00AE4361">
        <w:t>: language programme</w:t>
      </w:r>
      <w:r>
        <w:t xml:space="preserve"> </w:t>
      </w:r>
      <w:r w:rsidRPr="00AE4361">
        <w:t>goals and evaluations</w:t>
      </w:r>
      <w:bookmarkEnd w:id="312"/>
      <w:bookmarkEnd w:id="313"/>
      <w:bookmarkEnd w:id="314"/>
    </w:p>
    <w:p w14:paraId="52A6DD4A" w14:textId="58AAED7A" w:rsidR="006145A3" w:rsidRPr="00396601" w:rsidRDefault="006145A3" w:rsidP="006145A3">
      <w:pPr>
        <w:pStyle w:val="Para0"/>
      </w:pPr>
      <w:r w:rsidRPr="00396601">
        <w:t xml:space="preserve">Indigenous language programmes </w:t>
      </w:r>
      <w:r w:rsidR="00DC1469">
        <w:t xml:space="preserve">need to </w:t>
      </w:r>
      <w:r w:rsidRPr="00396601">
        <w:t xml:space="preserve">make the most of their local variables: local language speakership, local language ecologies, individual knowledges and skills in language teams and currently available language materials. Their success derives from their internal consistency, through realistic goal-setting, reflective practices, on-going evaluations, all from an agile can-do and make-do perspective. </w:t>
      </w:r>
    </w:p>
    <w:p w14:paraId="668450F3" w14:textId="3100F750" w:rsidR="006145A3" w:rsidRPr="00396601" w:rsidRDefault="006145A3" w:rsidP="006145A3">
      <w:pPr>
        <w:pStyle w:val="Para0"/>
      </w:pPr>
      <w:r w:rsidRPr="00396601">
        <w:t>Indigenous language programmes are small, and even the biggest ones like the Māori programmes are heavily dependent on local factors. Localised programme</w:t>
      </w:r>
      <w:r>
        <w:t xml:space="preserve"> </w:t>
      </w:r>
      <w:r w:rsidRPr="00396601">
        <w:t>information collected about the local context in order to achieve local goals and inform local evaluations– is therefore what counts in Indigenous language programmes. Each programme</w:t>
      </w:r>
      <w:r>
        <w:t xml:space="preserve"> </w:t>
      </w:r>
      <w:r w:rsidRPr="00396601">
        <w:t xml:space="preserve">has different constellations of local </w:t>
      </w:r>
      <w:r w:rsidR="00307117" w:rsidRPr="00396601">
        <w:t>factors, which</w:t>
      </w:r>
      <w:r w:rsidRPr="00396601">
        <w:t xml:space="preserve"> influence programme</w:t>
      </w:r>
      <w:r>
        <w:t xml:space="preserve"> </w:t>
      </w:r>
      <w:r w:rsidRPr="00396601">
        <w:t xml:space="preserve">decisions, delivery and outcomes. Responding to the local context is the mainstay of successful local Indigenous language programmes.  </w:t>
      </w:r>
    </w:p>
    <w:p w14:paraId="7D2257C9" w14:textId="77777777" w:rsidR="006145A3" w:rsidRPr="00396601" w:rsidRDefault="006145A3" w:rsidP="006145A3">
      <w:pPr>
        <w:pStyle w:val="Para0"/>
      </w:pPr>
      <w:r w:rsidRPr="00396601">
        <w:t>Reflective practices serve to 'join the dots' between a local context, delivering a language programme</w:t>
      </w:r>
      <w:r>
        <w:t xml:space="preserve"> </w:t>
      </w:r>
      <w:r w:rsidRPr="00396601">
        <w:t xml:space="preserve">and meeting school system accountabilities. Reflective practices assist the stakeholders in language programmes to focus on local strengths and articulate goals that are meaningful in this context. Education systems can support small Indigenous language programmes by encouraging this focus on the local language community, the language team and stakeholders. </w:t>
      </w:r>
    </w:p>
    <w:p w14:paraId="298EAE3C" w14:textId="77777777" w:rsidR="006145A3" w:rsidRPr="00396601" w:rsidRDefault="006145A3" w:rsidP="006145A3">
      <w:pPr>
        <w:pStyle w:val="Para0"/>
      </w:pPr>
      <w:r w:rsidRPr="00396601">
        <w:t>Example measures that could be put in place to support Indigenous language programmes to foster local goal setting and reflective practices could include:</w:t>
      </w:r>
    </w:p>
    <w:p w14:paraId="61BF0325" w14:textId="77777777" w:rsidR="006145A3" w:rsidRPr="00501540" w:rsidRDefault="006145A3" w:rsidP="006145A3">
      <w:pPr>
        <w:pStyle w:val="Heading3"/>
        <w:keepNext w:val="0"/>
        <w:keepLines w:val="0"/>
        <w:numPr>
          <w:ilvl w:val="2"/>
          <w:numId w:val="22"/>
        </w:numPr>
        <w:rPr>
          <w:rFonts w:ascii="Times New Roman" w:hAnsi="Times New Roman" w:cs="Times New Roman"/>
        </w:rPr>
      </w:pPr>
      <w:r w:rsidRPr="00501540">
        <w:rPr>
          <w:rFonts w:ascii="Times New Roman" w:hAnsi="Times New Roman" w:cs="Times New Roman"/>
        </w:rPr>
        <w:t>1) User-centred guidelines for Indigenous language programmes</w:t>
      </w:r>
    </w:p>
    <w:p w14:paraId="77E889FD" w14:textId="595E0E94" w:rsidR="006145A3" w:rsidRPr="00396601" w:rsidRDefault="006145A3" w:rsidP="006145A3">
      <w:pPr>
        <w:pStyle w:val="Para0"/>
      </w:pPr>
      <w:r w:rsidRPr="00396601">
        <w:t xml:space="preserve">These would usefully consist of clear statements of broad designated priority areas within which local Indigenous language programmes are encouraged to set and monitor their own goals. </w:t>
      </w:r>
      <w:r w:rsidR="00307117" w:rsidRPr="00396601">
        <w:t>Straightforward</w:t>
      </w:r>
      <w:r w:rsidRPr="00396601">
        <w:t xml:space="preserve"> accountability expectations would state that local monitoring processes be implemented and reported. Guidelines can foster reflective practices with: </w:t>
      </w:r>
    </w:p>
    <w:p w14:paraId="2F02B02A" w14:textId="77777777" w:rsidR="006145A3" w:rsidRPr="0042139F" w:rsidRDefault="006145A3" w:rsidP="006145A3">
      <w:pPr>
        <w:pStyle w:val="BulletedList"/>
      </w:pPr>
      <w:r w:rsidRPr="0042139F">
        <w:t>example goals with a short explanatory rationale about each</w:t>
      </w:r>
    </w:p>
    <w:p w14:paraId="152CFB79" w14:textId="77777777" w:rsidR="006145A3" w:rsidRPr="0042139F" w:rsidRDefault="006145A3" w:rsidP="006145A3">
      <w:pPr>
        <w:pStyle w:val="BulletedList"/>
      </w:pPr>
      <w:r w:rsidRPr="0042139F">
        <w:t>illustrations of how developing language programmes change their goals over time</w:t>
      </w:r>
    </w:p>
    <w:p w14:paraId="79B81DFB" w14:textId="77777777" w:rsidR="006145A3" w:rsidRPr="0042139F" w:rsidRDefault="006145A3" w:rsidP="006145A3">
      <w:pPr>
        <w:pStyle w:val="BulletedList"/>
      </w:pPr>
      <w:r w:rsidRPr="0042139F">
        <w:t xml:space="preserve">descriptions of how reflective practices are used to monitor progress towards goals. </w:t>
      </w:r>
    </w:p>
    <w:p w14:paraId="27631BE6" w14:textId="77777777" w:rsidR="006145A3" w:rsidRPr="00501540" w:rsidRDefault="006145A3" w:rsidP="006145A3">
      <w:pPr>
        <w:pStyle w:val="Heading3"/>
        <w:keepNext w:val="0"/>
        <w:keepLines w:val="0"/>
        <w:numPr>
          <w:ilvl w:val="2"/>
          <w:numId w:val="22"/>
        </w:numPr>
        <w:rPr>
          <w:rFonts w:ascii="Times New Roman" w:hAnsi="Times New Roman" w:cs="Times New Roman"/>
        </w:rPr>
      </w:pPr>
      <w:r w:rsidRPr="00501540">
        <w:rPr>
          <w:rFonts w:ascii="Times New Roman" w:hAnsi="Times New Roman" w:cs="Times New Roman"/>
        </w:rPr>
        <w:t>2) Goal setting</w:t>
      </w:r>
    </w:p>
    <w:p w14:paraId="203207D2" w14:textId="21154B56" w:rsidR="006145A3" w:rsidRPr="00396601" w:rsidRDefault="006145A3" w:rsidP="006145A3">
      <w:pPr>
        <w:pStyle w:val="Para0"/>
      </w:pPr>
      <w:r w:rsidRPr="00396601">
        <w:t>Realistic, strengths-based goals can helpfully guide the activities of a language program</w:t>
      </w:r>
      <w:r>
        <w:t>me</w:t>
      </w:r>
      <w:r w:rsidRPr="00396601">
        <w:t xml:space="preserve">, perhaps a tightly focused set achievable within </w:t>
      </w:r>
      <w:r w:rsidR="00DC1469">
        <w:t xml:space="preserve">one </w:t>
      </w:r>
      <w:r w:rsidRPr="00396601">
        <w:t xml:space="preserve">year, and a set of forward planning goals for a </w:t>
      </w:r>
      <w:r w:rsidR="00307117" w:rsidRPr="00396601">
        <w:t>5-year</w:t>
      </w:r>
      <w:r w:rsidRPr="00396601">
        <w:t xml:space="preserve"> timeline. Their purpose is to encourage progress, over time, in a number of designated priority areas as a manageable accountability measure. These goals would be negotiated with and by the local Indigenous language reference group and the school, in the designated areas such as:</w:t>
      </w:r>
    </w:p>
    <w:p w14:paraId="3A62BEC8" w14:textId="432ED9C8" w:rsidR="006145A3" w:rsidRPr="0042139F" w:rsidRDefault="00307117" w:rsidP="006145A3">
      <w:pPr>
        <w:pStyle w:val="BulletedList"/>
      </w:pPr>
      <w:r>
        <w:t>Students: e.g. </w:t>
      </w:r>
      <w:r w:rsidR="006145A3" w:rsidRPr="0042139F">
        <w:t>language gains, academic achievement, school engagement</w:t>
      </w:r>
    </w:p>
    <w:p w14:paraId="793DE109" w14:textId="5B84D98D" w:rsidR="006145A3" w:rsidRPr="0042139F" w:rsidRDefault="00307117" w:rsidP="006145A3">
      <w:pPr>
        <w:pStyle w:val="BulletedList"/>
      </w:pPr>
      <w:r>
        <w:t>Indigenous community: e.g. </w:t>
      </w:r>
      <w:r w:rsidR="006145A3" w:rsidRPr="0042139F">
        <w:t>employment, training, qualifications, leadership roles</w:t>
      </w:r>
    </w:p>
    <w:p w14:paraId="55EF0310" w14:textId="115682CD" w:rsidR="006145A3" w:rsidRPr="0042139F" w:rsidRDefault="00307117" w:rsidP="006145A3">
      <w:pPr>
        <w:pStyle w:val="BulletedList"/>
      </w:pPr>
      <w:r>
        <w:t>School: e.g. </w:t>
      </w:r>
      <w:r w:rsidR="006145A3" w:rsidRPr="0042139F">
        <w:t>more Indigenous staff, connections with community, staff awareness</w:t>
      </w:r>
    </w:p>
    <w:p w14:paraId="4D557320" w14:textId="2102D2A2" w:rsidR="006145A3" w:rsidRPr="0042139F" w:rsidRDefault="00307117" w:rsidP="006145A3">
      <w:pPr>
        <w:pStyle w:val="BulletedList"/>
      </w:pPr>
      <w:r>
        <w:t>Indigenous language: e.g. </w:t>
      </w:r>
      <w:r w:rsidR="006145A3" w:rsidRPr="0042139F">
        <w:t xml:space="preserve">increased use at school, more learning resources </w:t>
      </w:r>
    </w:p>
    <w:p w14:paraId="622E6532" w14:textId="477F7395" w:rsidR="006145A3" w:rsidRPr="0042139F" w:rsidRDefault="00307117" w:rsidP="006145A3">
      <w:pPr>
        <w:pStyle w:val="BulletedList"/>
      </w:pPr>
      <w:r>
        <w:t>System outcomes: e.g. </w:t>
      </w:r>
      <w:r w:rsidR="006145A3" w:rsidRPr="0042139F">
        <w:t>numbers of students, hours taught, Indigenous staff numbers.</w:t>
      </w:r>
    </w:p>
    <w:p w14:paraId="28ED0F73" w14:textId="77777777" w:rsidR="006145A3" w:rsidRPr="00501540" w:rsidRDefault="006145A3" w:rsidP="006145A3">
      <w:pPr>
        <w:pStyle w:val="Heading3"/>
        <w:keepNext w:val="0"/>
        <w:keepLines w:val="0"/>
        <w:numPr>
          <w:ilvl w:val="2"/>
          <w:numId w:val="22"/>
        </w:numPr>
        <w:rPr>
          <w:rFonts w:ascii="Times New Roman" w:hAnsi="Times New Roman" w:cs="Times New Roman"/>
        </w:rPr>
      </w:pPr>
      <w:r w:rsidRPr="00501540">
        <w:rPr>
          <w:rFonts w:ascii="Times New Roman" w:hAnsi="Times New Roman" w:cs="Times New Roman"/>
        </w:rPr>
        <w:t xml:space="preserve">3) Regularly monitor and communicate about goals </w:t>
      </w:r>
    </w:p>
    <w:p w14:paraId="297671EA" w14:textId="77777777" w:rsidR="006145A3" w:rsidRPr="00396601" w:rsidRDefault="006145A3" w:rsidP="006145A3">
      <w:pPr>
        <w:pStyle w:val="Para0"/>
      </w:pPr>
      <w:r w:rsidRPr="00396601">
        <w:t xml:space="preserve">The local Indigenous reference group and school together can list a broader key group of stakeholders and their roles, devise a simple communication plan, and an agreed cycle of reflection and evaluation. The </w:t>
      </w:r>
      <w:r w:rsidRPr="00396601">
        <w:lastRenderedPageBreak/>
        <w:t>local Indigenous reference group and school (and stakeholders where relevant) could regularly undertake a basic reflection cycle as a way to stay on track</w:t>
      </w:r>
    </w:p>
    <w:p w14:paraId="3FFCEE42" w14:textId="77777777" w:rsidR="006145A3" w:rsidRPr="0042139F" w:rsidRDefault="006145A3" w:rsidP="006145A3">
      <w:pPr>
        <w:pStyle w:val="BulletedList"/>
      </w:pPr>
      <w:r w:rsidRPr="0042139F">
        <w:t xml:space="preserve">considering experiences, observations and feedback from the language programme </w:t>
      </w:r>
    </w:p>
    <w:p w14:paraId="654D220E" w14:textId="77777777" w:rsidR="006145A3" w:rsidRPr="0042139F" w:rsidRDefault="006145A3" w:rsidP="006145A3">
      <w:pPr>
        <w:pStyle w:val="BulletedList"/>
      </w:pPr>
      <w:r w:rsidRPr="0042139F">
        <w:t>reviewing for better understanding of small successful steps and challenges</w:t>
      </w:r>
    </w:p>
    <w:p w14:paraId="5B20693F" w14:textId="77777777" w:rsidR="006145A3" w:rsidRPr="0042139F" w:rsidRDefault="006145A3" w:rsidP="006145A3">
      <w:pPr>
        <w:pStyle w:val="BulletedList"/>
      </w:pPr>
      <w:r w:rsidRPr="0042139F">
        <w:t>reconsidering how present practices might be modified</w:t>
      </w:r>
    </w:p>
    <w:p w14:paraId="057280E3" w14:textId="77777777" w:rsidR="006145A3" w:rsidRPr="0042139F" w:rsidRDefault="006145A3" w:rsidP="006145A3">
      <w:pPr>
        <w:pStyle w:val="BulletedList"/>
      </w:pPr>
      <w:r w:rsidRPr="0042139F">
        <w:t>adjusting planning and goals accordingly.</w:t>
      </w:r>
    </w:p>
    <w:p w14:paraId="14C746A1" w14:textId="77777777" w:rsidR="006145A3" w:rsidRPr="00501540" w:rsidRDefault="006145A3" w:rsidP="006145A3">
      <w:pPr>
        <w:pStyle w:val="Heading3"/>
        <w:keepNext w:val="0"/>
        <w:keepLines w:val="0"/>
        <w:numPr>
          <w:ilvl w:val="2"/>
          <w:numId w:val="22"/>
        </w:numPr>
        <w:rPr>
          <w:rFonts w:ascii="Times New Roman" w:hAnsi="Times New Roman" w:cs="Times New Roman"/>
        </w:rPr>
      </w:pPr>
      <w:r w:rsidRPr="00501540">
        <w:rPr>
          <w:rFonts w:ascii="Times New Roman" w:hAnsi="Times New Roman" w:cs="Times New Roman"/>
        </w:rPr>
        <w:t xml:space="preserve">4) Cycles of evaluation </w:t>
      </w:r>
    </w:p>
    <w:p w14:paraId="3BED50E0" w14:textId="2E047BBF" w:rsidR="006145A3" w:rsidRPr="00396601" w:rsidRDefault="006145A3" w:rsidP="006145A3">
      <w:pPr>
        <w:pStyle w:val="Para0"/>
      </w:pPr>
      <w:r w:rsidRPr="00396601">
        <w:t>Evaluations of the language programme</w:t>
      </w:r>
      <w:r>
        <w:t xml:space="preserve"> </w:t>
      </w:r>
      <w:r w:rsidRPr="00396601">
        <w:t>can be con</w:t>
      </w:r>
      <w:r w:rsidR="0088557F">
        <w:t>ducted on an agreed cycle (e.g. 3 </w:t>
      </w:r>
      <w:r w:rsidRPr="00396601">
        <w:t>years) with a positive orientation. This can be an opportunity to consider the overall language programme</w:t>
      </w:r>
      <w:r>
        <w:t xml:space="preserve"> </w:t>
      </w:r>
      <w:r w:rsidRPr="00396601">
        <w:t>performance in the light of local circumstances with a view to celebrating successes and finding out what else can be realistically put in place to assist the programme</w:t>
      </w:r>
      <w:r>
        <w:t xml:space="preserve"> </w:t>
      </w:r>
      <w:r w:rsidRPr="00396601">
        <w:t xml:space="preserve">going forwards. </w:t>
      </w:r>
    </w:p>
    <w:p w14:paraId="1A4478AB" w14:textId="77777777" w:rsidR="006145A3" w:rsidRPr="00AE4361" w:rsidRDefault="006145A3" w:rsidP="006145A3">
      <w:pPr>
        <w:pStyle w:val="Heading2"/>
        <w:numPr>
          <w:ilvl w:val="1"/>
          <w:numId w:val="22"/>
        </w:numPr>
      </w:pPr>
      <w:bookmarkStart w:id="315" w:name="_Toc82093587"/>
      <w:bookmarkStart w:id="316" w:name="_Toc95824123"/>
      <w:r w:rsidRPr="00AE4361">
        <w:t xml:space="preserve">Peopling </w:t>
      </w:r>
      <w:r w:rsidRPr="0042139F">
        <w:t>language</w:t>
      </w:r>
      <w:r w:rsidRPr="00AE4361">
        <w:t xml:space="preserve"> programmes: training </w:t>
      </w:r>
      <w:r>
        <w:t>and</w:t>
      </w:r>
      <w:r w:rsidRPr="00AE4361">
        <w:t xml:space="preserve"> resourcing language teams</w:t>
      </w:r>
      <w:bookmarkEnd w:id="315"/>
      <w:bookmarkEnd w:id="316"/>
    </w:p>
    <w:p w14:paraId="4FD6030C" w14:textId="395F4C63" w:rsidR="006145A3" w:rsidRPr="00396601" w:rsidRDefault="006145A3" w:rsidP="006145A3">
      <w:pPr>
        <w:pStyle w:val="Para0"/>
      </w:pPr>
      <w:r w:rsidRPr="00396601">
        <w:t xml:space="preserve">Delivering Indigenous language programmes in schools requires people with a complex set of knowledges, skills and cultural and professional networks. It is unusual for a single individual to cover the entire set. Many languages have few speakers and those speakers have often been marginalised by education, while support for speakers who are language learners has also often been scant. </w:t>
      </w:r>
      <w:r w:rsidR="00DC1469">
        <w:t xml:space="preserve">Requisite </w:t>
      </w:r>
      <w:r w:rsidRPr="00396601">
        <w:t>knowledge and skills and networks can be developed over time by a group of committed individuals. Language teams provide the way forward in these circumstances, and can work well with leadership from the Indigenous language community and the school.</w:t>
      </w:r>
    </w:p>
    <w:p w14:paraId="603FD5C6" w14:textId="77777777" w:rsidR="006145A3" w:rsidRPr="00396601" w:rsidRDefault="006145A3" w:rsidP="006145A3">
      <w:pPr>
        <w:pStyle w:val="Para0"/>
      </w:pPr>
      <w:r w:rsidRPr="00396601">
        <w:t xml:space="preserve">Indigenous community members should be forefront in peopling Indigenous language programmes in schools. Education institutions and schools want to partner with Indigenous language communities, as an act of reconciliation, to support Indigenous peoples' aspirations for their languages. Schools often hope this will be a step towards increased student engagement and achievement, better school-community relationships, greater community involvement in the school and more Indigenous staff. </w:t>
      </w:r>
    </w:p>
    <w:p w14:paraId="0BF8F4C9" w14:textId="77777777" w:rsidR="006145A3" w:rsidRPr="00396601" w:rsidRDefault="006145A3" w:rsidP="006145A3">
      <w:pPr>
        <w:pStyle w:val="Para0"/>
      </w:pPr>
      <w:r w:rsidRPr="00396601">
        <w:t xml:space="preserve">To this end, Indigenous community employment and capacity building opportunities are core functions of Indigenous language programmes. </w:t>
      </w:r>
    </w:p>
    <w:p w14:paraId="68D36D0D" w14:textId="77777777" w:rsidR="006145A3" w:rsidRPr="00396601" w:rsidRDefault="006145A3" w:rsidP="006145A3">
      <w:pPr>
        <w:pStyle w:val="Para0"/>
      </w:pPr>
      <w:r w:rsidRPr="00396601">
        <w:t>Education systems must recognise that school leadership may require extra skills and assistance to support these goals of community employment and building community capacity. School-community negotiations over funding for language programmes may be required. There may be system expectations as to the training and qualifications of staff in school programmes that conflict with the employment of Indigenous people. Funding for language teams and capacity building may necessitate seeking funding outside the school system.</w:t>
      </w:r>
    </w:p>
    <w:p w14:paraId="120B881B" w14:textId="77777777" w:rsidR="006145A3" w:rsidRPr="00396601" w:rsidRDefault="006145A3" w:rsidP="006145A3">
      <w:pPr>
        <w:pStyle w:val="Para0"/>
      </w:pPr>
      <w:r w:rsidRPr="00396601">
        <w:t>Proposals for developing these functions are:</w:t>
      </w:r>
    </w:p>
    <w:p w14:paraId="5F713B5D" w14:textId="77777777" w:rsidR="006145A3" w:rsidRPr="00501540" w:rsidRDefault="006145A3" w:rsidP="006145A3">
      <w:pPr>
        <w:pStyle w:val="Heading3"/>
        <w:keepNext w:val="0"/>
        <w:keepLines w:val="0"/>
        <w:numPr>
          <w:ilvl w:val="2"/>
          <w:numId w:val="22"/>
        </w:numPr>
        <w:rPr>
          <w:rFonts w:ascii="Times New Roman" w:hAnsi="Times New Roman" w:cs="Times New Roman"/>
        </w:rPr>
      </w:pPr>
      <w:r w:rsidRPr="00501540">
        <w:rPr>
          <w:rFonts w:ascii="Times New Roman" w:hAnsi="Times New Roman" w:cs="Times New Roman"/>
        </w:rPr>
        <w:t>1) Staffing language programmes</w:t>
      </w:r>
    </w:p>
    <w:p w14:paraId="15FF4A89" w14:textId="77777777" w:rsidR="006145A3" w:rsidRPr="00396601" w:rsidRDefault="006145A3" w:rsidP="006145A3">
      <w:pPr>
        <w:pStyle w:val="Para0"/>
      </w:pPr>
      <w:r w:rsidRPr="00396601">
        <w:t>The school and local Indigenous language reference group in consultation with the community can cooperatively work out how to staff the core tasks associated with the language teaching. Language programme</w:t>
      </w:r>
      <w:r>
        <w:t xml:space="preserve"> </w:t>
      </w:r>
      <w:r w:rsidRPr="00396601">
        <w:t>goals can be used to set targets for</w:t>
      </w:r>
      <w:r>
        <w:t>:</w:t>
      </w:r>
    </w:p>
    <w:p w14:paraId="7DDB24E2" w14:textId="77777777" w:rsidR="006145A3" w:rsidRPr="0042139F" w:rsidRDefault="006145A3" w:rsidP="006145A3">
      <w:pPr>
        <w:pStyle w:val="BulletedList"/>
      </w:pPr>
      <w:r w:rsidRPr="0042139F">
        <w:t xml:space="preserve">immediate staffing and programme delivery, but also future needs. </w:t>
      </w:r>
    </w:p>
    <w:p w14:paraId="5B22FE5E" w14:textId="5B2CCD05" w:rsidR="006145A3" w:rsidRPr="0042139F" w:rsidRDefault="006145A3" w:rsidP="006145A3">
      <w:pPr>
        <w:pStyle w:val="BulletedList"/>
      </w:pPr>
      <w:r w:rsidRPr="0042139F">
        <w:t>language learning, teacher training and specialised skills that participants wish to pursue or that the programme requires (e.g. development of learning materials, historical archival research</w:t>
      </w:r>
      <w:r w:rsidR="0088557F">
        <w:t> </w:t>
      </w:r>
      <w:r w:rsidRPr="0042139F">
        <w:t>etc.).</w:t>
      </w:r>
    </w:p>
    <w:p w14:paraId="6885372F" w14:textId="77777777" w:rsidR="006145A3" w:rsidRPr="00501540" w:rsidRDefault="006145A3" w:rsidP="006145A3">
      <w:pPr>
        <w:pStyle w:val="Heading3"/>
        <w:keepNext w:val="0"/>
        <w:keepLines w:val="0"/>
        <w:numPr>
          <w:ilvl w:val="2"/>
          <w:numId w:val="22"/>
        </w:numPr>
        <w:rPr>
          <w:rFonts w:ascii="Times New Roman" w:hAnsi="Times New Roman" w:cs="Times New Roman"/>
        </w:rPr>
      </w:pPr>
      <w:r w:rsidRPr="00501540">
        <w:rPr>
          <w:rFonts w:ascii="Times New Roman" w:hAnsi="Times New Roman" w:cs="Times New Roman"/>
        </w:rPr>
        <w:lastRenderedPageBreak/>
        <w:t xml:space="preserve">2) Recognition for language teams in policy and funding </w:t>
      </w:r>
    </w:p>
    <w:p w14:paraId="59A2FA83" w14:textId="77777777" w:rsidR="006145A3" w:rsidRPr="00396601" w:rsidRDefault="006145A3" w:rsidP="006145A3">
      <w:pPr>
        <w:pStyle w:val="Para0"/>
      </w:pPr>
      <w:r w:rsidRPr="00396601">
        <w:t xml:space="preserve">Education policy can provide funding for staffing that recognises the importance of language teams, and can provide models of how language teams work in different settings. </w:t>
      </w:r>
    </w:p>
    <w:p w14:paraId="5C7157C4" w14:textId="77777777" w:rsidR="006145A3" w:rsidRPr="00501540" w:rsidRDefault="006145A3" w:rsidP="006145A3">
      <w:pPr>
        <w:pStyle w:val="Heading3"/>
        <w:keepNext w:val="0"/>
        <w:keepLines w:val="0"/>
        <w:numPr>
          <w:ilvl w:val="2"/>
          <w:numId w:val="22"/>
        </w:numPr>
        <w:rPr>
          <w:rFonts w:ascii="Times New Roman" w:hAnsi="Times New Roman" w:cs="Times New Roman"/>
          <w:b w:val="0"/>
          <w:i w:val="0"/>
        </w:rPr>
      </w:pPr>
      <w:r w:rsidRPr="00501540">
        <w:rPr>
          <w:rFonts w:ascii="Times New Roman" w:hAnsi="Times New Roman" w:cs="Times New Roman"/>
        </w:rPr>
        <w:t xml:space="preserve">3) School leadership </w:t>
      </w:r>
    </w:p>
    <w:p w14:paraId="0340F4CA" w14:textId="392D8618" w:rsidR="006145A3" w:rsidRPr="00396601" w:rsidRDefault="006145A3" w:rsidP="006145A3">
      <w:pPr>
        <w:pStyle w:val="Para0"/>
      </w:pPr>
      <w:r w:rsidRPr="00396601">
        <w:t xml:space="preserve">There is a need for positive school leaders who advocate for Indigenous staff in school language programmes, to build in/maximise sustainability and guard against the common problem of non-local staff and leadership </w:t>
      </w:r>
      <w:r w:rsidR="0088557F" w:rsidRPr="00396601">
        <w:t>turnover</w:t>
      </w:r>
      <w:r w:rsidRPr="00396601">
        <w:t xml:space="preserve"> that can be detrimental to fragile Indigenous languages programmes. They can ensure that Indigenous staff have good opportunities to develop their professional knowledge, both informally and formally through accreditation paths, including micro-credentialing, and through individualised career pathways. This is important as formal training and accreditation pathways may not be available in the target language, or at the appropriate level of entry, or in a mode that is suitable. </w:t>
      </w:r>
    </w:p>
    <w:p w14:paraId="6DFBA326" w14:textId="77777777" w:rsidR="006145A3" w:rsidRPr="00501540" w:rsidRDefault="006145A3" w:rsidP="006145A3">
      <w:pPr>
        <w:pStyle w:val="Heading3"/>
        <w:keepNext w:val="0"/>
        <w:keepLines w:val="0"/>
        <w:numPr>
          <w:ilvl w:val="2"/>
          <w:numId w:val="22"/>
        </w:numPr>
        <w:rPr>
          <w:rFonts w:ascii="Times New Roman" w:hAnsi="Times New Roman" w:cs="Times New Roman"/>
        </w:rPr>
      </w:pPr>
      <w:r w:rsidRPr="00501540">
        <w:rPr>
          <w:rFonts w:ascii="Times New Roman" w:hAnsi="Times New Roman" w:cs="Times New Roman"/>
        </w:rPr>
        <w:t>4) Partners for increased, locally attuned training opportunities</w:t>
      </w:r>
    </w:p>
    <w:p w14:paraId="69AEEABB" w14:textId="77777777" w:rsidR="006145A3" w:rsidRPr="00396601" w:rsidRDefault="006145A3" w:rsidP="006145A3">
      <w:pPr>
        <w:pStyle w:val="Para0"/>
      </w:pPr>
      <w:r w:rsidRPr="00396601">
        <w:t xml:space="preserve">School-based Indigenous language programmes can partner with Indigenous organisations, adult education and tertiary institutions to increase training and employment pathways for Indigenous language community members. With a local Indigenous language reference group, a solid language team is well-placed to map out the kinds of skills, training and accreditation that will be most efficacious for the local setting. </w:t>
      </w:r>
    </w:p>
    <w:p w14:paraId="766FF780" w14:textId="77777777" w:rsidR="006145A3" w:rsidRPr="00AE4361" w:rsidRDefault="006145A3" w:rsidP="006145A3">
      <w:pPr>
        <w:pStyle w:val="Heading2"/>
        <w:numPr>
          <w:ilvl w:val="1"/>
          <w:numId w:val="22"/>
        </w:numPr>
      </w:pPr>
      <w:bookmarkStart w:id="317" w:name="_Toc82093588"/>
      <w:bookmarkStart w:id="318" w:name="_Toc95824124"/>
      <w:r w:rsidRPr="00AE4361">
        <w:t>Teaching and learning resources for language programmes</w:t>
      </w:r>
      <w:bookmarkEnd w:id="317"/>
      <w:bookmarkEnd w:id="318"/>
    </w:p>
    <w:p w14:paraId="4076D519" w14:textId="77777777" w:rsidR="006145A3" w:rsidRPr="00396601" w:rsidRDefault="006145A3" w:rsidP="006145A3">
      <w:pPr>
        <w:pStyle w:val="Para0"/>
      </w:pPr>
      <w:r w:rsidRPr="00396601">
        <w:t xml:space="preserve">Most Indigenous language programmes have more than one element that fits the metaphor of flying a plane whilst building it: teaching the language whilst learning the language, learning the language whilst rebuilding the language, teaching whilst training to teach. </w:t>
      </w:r>
    </w:p>
    <w:p w14:paraId="29D9F3A1" w14:textId="358816BA" w:rsidR="006145A3" w:rsidRPr="00396601" w:rsidRDefault="006145A3" w:rsidP="006145A3">
      <w:pPr>
        <w:pStyle w:val="Para0"/>
      </w:pPr>
      <w:r w:rsidRPr="00396601">
        <w:t xml:space="preserve">A stark difference between small Indigenous language programmes and long running language programmes in large national languages is </w:t>
      </w:r>
      <w:r>
        <w:t xml:space="preserve">the </w:t>
      </w:r>
      <w:r w:rsidR="0088557F">
        <w:t>volume</w:t>
      </w:r>
      <w:r>
        <w:t xml:space="preserve"> of </w:t>
      </w:r>
      <w:r w:rsidRPr="00396601">
        <w:t>teaching and learning material</w:t>
      </w:r>
      <w:r>
        <w:t>s that are available</w:t>
      </w:r>
      <w:r w:rsidRPr="00396601">
        <w:t>. Even the largest, longest running and best resourced Indigenous language programmes, like the Māori lang</w:t>
      </w:r>
      <w:r w:rsidR="0088557F">
        <w:t>uage programmes in Aotearoa New </w:t>
      </w:r>
      <w:r w:rsidRPr="00396601">
        <w:t>Zealand, are vastly under-resourced in terms of teaching and learning resources compared to large international languages.</w:t>
      </w:r>
    </w:p>
    <w:p w14:paraId="29642F45" w14:textId="77777777" w:rsidR="006145A3" w:rsidRPr="00396601" w:rsidRDefault="006145A3" w:rsidP="006145A3">
      <w:pPr>
        <w:pStyle w:val="Para0"/>
      </w:pPr>
      <w:r w:rsidRPr="00396601">
        <w:t>Good accessible teaching and learning resources can accomplish a great deal for Indigenous language programmes.</w:t>
      </w:r>
    </w:p>
    <w:p w14:paraId="0376445C" w14:textId="77777777" w:rsidR="006145A3" w:rsidRPr="00396601" w:rsidRDefault="006145A3" w:rsidP="006145A3">
      <w:pPr>
        <w:pStyle w:val="BulletedList"/>
      </w:pPr>
      <w:r w:rsidRPr="00396601">
        <w:t xml:space="preserve">Second/additional </w:t>
      </w:r>
      <w:r w:rsidRPr="0042139F">
        <w:t>language</w:t>
      </w:r>
      <w:r w:rsidRPr="00396601">
        <w:t xml:space="preserve"> learning situations</w:t>
      </w:r>
    </w:p>
    <w:p w14:paraId="6B292C2D" w14:textId="77777777" w:rsidR="006145A3" w:rsidRPr="00396601" w:rsidRDefault="006145A3" w:rsidP="006145A3">
      <w:pPr>
        <w:pStyle w:val="Para0"/>
        <w:ind w:left="340"/>
      </w:pPr>
      <w:r w:rsidRPr="00396601">
        <w:t xml:space="preserve">Teaching and learning resources can scaffold teachers of Indigenous languages in revival and revitalisation contexts who are developing their language proficiency (this occurs in the teaching of other languages too). Language teachers can perform well and confidently above what their independent, individual proficiency levels might otherwise predict, with the support of targeted language materials - including audio-visual and print resources, lesson and unit plans, explanations of particular language features etc. </w:t>
      </w:r>
    </w:p>
    <w:p w14:paraId="2590A160" w14:textId="77777777" w:rsidR="006145A3" w:rsidRPr="00396601" w:rsidRDefault="006145A3" w:rsidP="006145A3">
      <w:pPr>
        <w:pStyle w:val="BulletedList"/>
      </w:pPr>
      <w:r w:rsidRPr="00396601">
        <w:t xml:space="preserve">Mother tongue/first language situations </w:t>
      </w:r>
    </w:p>
    <w:p w14:paraId="388BB06C" w14:textId="6994AC41" w:rsidR="006145A3" w:rsidRPr="00396601" w:rsidRDefault="006145A3" w:rsidP="006145A3">
      <w:pPr>
        <w:pStyle w:val="Para0"/>
        <w:ind w:left="340"/>
      </w:pPr>
      <w:r w:rsidRPr="00396601">
        <w:t xml:space="preserve">Language and teaching materials are important for delivering lessons across the curriculum. Teachers and children who are mother tongue speakers are proficient in their language, but they might not have experienced their language in all curriculum areas before, perhaps because it was excluded from their own schooling. Good resources model the language for subject specific concepts, that may require </w:t>
      </w:r>
      <w:r w:rsidRPr="00396601">
        <w:lastRenderedPageBreak/>
        <w:t xml:space="preserve">considerable language engineering and language planning time to translate into the Indigenous language, such as multiplication in maths, </w:t>
      </w:r>
      <w:r w:rsidR="00DC1469">
        <w:t xml:space="preserve">energy and forces </w:t>
      </w:r>
      <w:r w:rsidRPr="00396601">
        <w:t xml:space="preserve">in science, </w:t>
      </w:r>
      <w:r w:rsidR="00DC1469">
        <w:t xml:space="preserve">persuasion </w:t>
      </w:r>
      <w:r w:rsidRPr="00396601">
        <w:t xml:space="preserve">in language arts. Such materials are also important in informal bilingual situations where Indigenous language speakers are expected to translate </w:t>
      </w:r>
      <w:r w:rsidR="00DC1469">
        <w:t xml:space="preserve">and/or explain </w:t>
      </w:r>
      <w:r w:rsidRPr="00396601">
        <w:t xml:space="preserve">classroom content for </w:t>
      </w:r>
      <w:r w:rsidR="00DC1469">
        <w:t xml:space="preserve">students, delivered by </w:t>
      </w:r>
      <w:r w:rsidRPr="00396601">
        <w:t xml:space="preserve">teachers who only speak the national language. Having accessible language teaching materials shares the </w:t>
      </w:r>
      <w:r w:rsidR="00DC1469">
        <w:t xml:space="preserve">Indigenous </w:t>
      </w:r>
      <w:r w:rsidRPr="00396601">
        <w:t xml:space="preserve">language </w:t>
      </w:r>
      <w:r w:rsidR="00DC1469">
        <w:t xml:space="preserve">wording of curriculum concepts between </w:t>
      </w:r>
      <w:r w:rsidRPr="00396601">
        <w:t>teaching assistants, rather than each assistant doing their best at coming up with different and potentially confusing translations</w:t>
      </w:r>
      <w:r w:rsidR="00DC1469">
        <w:t xml:space="preserve"> of curriculum terminology</w:t>
      </w:r>
      <w:r w:rsidRPr="00396601">
        <w:t>.</w:t>
      </w:r>
    </w:p>
    <w:p w14:paraId="61FC0330" w14:textId="77777777" w:rsidR="006145A3" w:rsidRPr="00396601" w:rsidRDefault="006145A3" w:rsidP="006145A3">
      <w:pPr>
        <w:pStyle w:val="Para0"/>
      </w:pPr>
      <w:r w:rsidRPr="00396601">
        <w:t>A strategy for supporting the ongoing development of language teaching and learning material can include:</w:t>
      </w:r>
    </w:p>
    <w:p w14:paraId="1C132E1E" w14:textId="77777777" w:rsidR="006145A3" w:rsidRPr="00501540" w:rsidRDefault="006145A3" w:rsidP="006145A3">
      <w:pPr>
        <w:pStyle w:val="Heading3"/>
        <w:keepNext w:val="0"/>
        <w:keepLines w:val="0"/>
        <w:numPr>
          <w:ilvl w:val="2"/>
          <w:numId w:val="22"/>
        </w:numPr>
        <w:rPr>
          <w:rFonts w:ascii="Times New Roman" w:hAnsi="Times New Roman" w:cs="Times New Roman"/>
        </w:rPr>
      </w:pPr>
      <w:r w:rsidRPr="00501540">
        <w:rPr>
          <w:rFonts w:ascii="Times New Roman" w:hAnsi="Times New Roman" w:cs="Times New Roman"/>
        </w:rPr>
        <w:t xml:space="preserve">1) Systematic funding for resource production </w:t>
      </w:r>
    </w:p>
    <w:p w14:paraId="26DCFB08" w14:textId="77777777" w:rsidR="006145A3" w:rsidRPr="00396601" w:rsidRDefault="006145A3" w:rsidP="006145A3">
      <w:pPr>
        <w:pStyle w:val="Para0"/>
      </w:pPr>
      <w:r w:rsidRPr="00396601">
        <w:t xml:space="preserve">The development of language teaching and learning resources can be prioritised, with a view to keeping a focus on: </w:t>
      </w:r>
    </w:p>
    <w:p w14:paraId="06973C59" w14:textId="77777777" w:rsidR="006145A3" w:rsidRPr="0042139F" w:rsidRDefault="006145A3" w:rsidP="006145A3">
      <w:pPr>
        <w:pStyle w:val="BulletedList"/>
      </w:pPr>
      <w:r w:rsidRPr="0042139F">
        <w:t>local language curriculum with a scope and sequence (of topics and associated language)</w:t>
      </w:r>
    </w:p>
    <w:p w14:paraId="72F2DF05" w14:textId="77777777" w:rsidR="006145A3" w:rsidRPr="0042139F" w:rsidRDefault="006145A3" w:rsidP="006145A3">
      <w:pPr>
        <w:pStyle w:val="BulletedList"/>
      </w:pPr>
      <w:r w:rsidRPr="0042139F">
        <w:t>curriculum support materials: unit plans and lesson material</w:t>
      </w:r>
    </w:p>
    <w:p w14:paraId="6A62C7F6" w14:textId="77777777" w:rsidR="006145A3" w:rsidRPr="0042139F" w:rsidRDefault="006145A3" w:rsidP="006145A3">
      <w:pPr>
        <w:pStyle w:val="BulletedList"/>
      </w:pPr>
      <w:r w:rsidRPr="0042139F">
        <w:t>access for Indigenous language teachers and learners</w:t>
      </w:r>
    </w:p>
    <w:p w14:paraId="6A9E2007" w14:textId="7DF35C26" w:rsidR="006145A3" w:rsidRPr="0042139F" w:rsidRDefault="0088557F" w:rsidP="006145A3">
      <w:pPr>
        <w:pStyle w:val="BulletedList"/>
      </w:pPr>
      <w:r>
        <w:t>age-</w:t>
      </w:r>
      <w:r w:rsidR="006145A3" w:rsidRPr="0042139F">
        <w:t>appropriate content (considering language levels) including print, digital, audio-visual.</w:t>
      </w:r>
    </w:p>
    <w:p w14:paraId="4F3F8974" w14:textId="77777777" w:rsidR="006145A3" w:rsidRPr="00501540" w:rsidRDefault="006145A3" w:rsidP="006145A3">
      <w:pPr>
        <w:pStyle w:val="Heading3"/>
        <w:keepNext w:val="0"/>
        <w:keepLines w:val="0"/>
        <w:numPr>
          <w:ilvl w:val="2"/>
          <w:numId w:val="22"/>
        </w:numPr>
        <w:rPr>
          <w:rFonts w:ascii="Times New Roman" w:hAnsi="Times New Roman" w:cs="Times New Roman"/>
        </w:rPr>
      </w:pPr>
      <w:r w:rsidRPr="00501540">
        <w:rPr>
          <w:rFonts w:ascii="Times New Roman" w:hAnsi="Times New Roman" w:cs="Times New Roman"/>
        </w:rPr>
        <w:t>2) Co-design language resources</w:t>
      </w:r>
    </w:p>
    <w:p w14:paraId="538909F8" w14:textId="5385B0FE" w:rsidR="006145A3" w:rsidRPr="00396601" w:rsidRDefault="006145A3" w:rsidP="006145A3">
      <w:pPr>
        <w:pStyle w:val="Para0"/>
      </w:pPr>
      <w:r w:rsidRPr="00396601">
        <w:t>Language resources should be co-designed with the local Indigenous langua</w:t>
      </w:r>
      <w:r w:rsidR="00DC1469">
        <w:t>ge reference group and involve</w:t>
      </w:r>
      <w:r w:rsidRPr="00396601">
        <w:t xml:space="preserve"> the Indigenous language community more generally:</w:t>
      </w:r>
    </w:p>
    <w:p w14:paraId="4B505F56" w14:textId="77777777" w:rsidR="006145A3" w:rsidRPr="0042139F" w:rsidRDefault="006145A3" w:rsidP="006145A3">
      <w:pPr>
        <w:pStyle w:val="BulletedList"/>
      </w:pPr>
      <w:r w:rsidRPr="0042139F">
        <w:t>seeking advice and permission</w:t>
      </w:r>
    </w:p>
    <w:p w14:paraId="656643D3" w14:textId="77777777" w:rsidR="006145A3" w:rsidRPr="0042139F" w:rsidRDefault="006145A3" w:rsidP="006145A3">
      <w:pPr>
        <w:pStyle w:val="BulletedList"/>
      </w:pPr>
      <w:r w:rsidRPr="0042139F">
        <w:t>ensuring their accessibility and usability for community members</w:t>
      </w:r>
    </w:p>
    <w:p w14:paraId="1F44F0D6" w14:textId="77777777" w:rsidR="006145A3" w:rsidRPr="0042139F" w:rsidRDefault="006145A3" w:rsidP="006145A3">
      <w:pPr>
        <w:pStyle w:val="BulletedList"/>
      </w:pPr>
      <w:r w:rsidRPr="0042139F">
        <w:t>providing employment and training opportunities for language community members in language resource production, for example audio visual recording and editing, illustrating, language study and research.</w:t>
      </w:r>
    </w:p>
    <w:p w14:paraId="32D80CE5" w14:textId="77777777" w:rsidR="006145A3" w:rsidRPr="00501540" w:rsidRDefault="006145A3" w:rsidP="006145A3">
      <w:pPr>
        <w:pStyle w:val="Heading3"/>
        <w:keepNext w:val="0"/>
        <w:keepLines w:val="0"/>
        <w:numPr>
          <w:ilvl w:val="2"/>
          <w:numId w:val="22"/>
        </w:numPr>
        <w:rPr>
          <w:rFonts w:ascii="Times New Roman" w:hAnsi="Times New Roman" w:cs="Times New Roman"/>
        </w:rPr>
      </w:pPr>
      <w:r w:rsidRPr="00501540">
        <w:rPr>
          <w:rFonts w:ascii="Times New Roman" w:hAnsi="Times New Roman" w:cs="Times New Roman"/>
        </w:rPr>
        <w:t>3) Partnerships for extra language resource production support</w:t>
      </w:r>
    </w:p>
    <w:p w14:paraId="25738E27" w14:textId="77777777" w:rsidR="006145A3" w:rsidRPr="00396601" w:rsidRDefault="006145A3" w:rsidP="006145A3">
      <w:pPr>
        <w:pStyle w:val="Para0"/>
      </w:pPr>
      <w:r w:rsidRPr="00396601">
        <w:t>Partnerships can be facilitated for Indigenous language programmes overseen by the Indigenous language reference group, for example between Indigenous organisations, universities, linguists etc. to assist with language resource production. In particular these partnerships can be useful for supporting the development of larger bodies of work that can provide useful reference material for Indigenous language programmes, including:</w:t>
      </w:r>
    </w:p>
    <w:p w14:paraId="5D21234A" w14:textId="77777777" w:rsidR="006145A3" w:rsidRPr="0042139F" w:rsidRDefault="006145A3" w:rsidP="006145A3">
      <w:pPr>
        <w:pStyle w:val="BulletedList"/>
      </w:pPr>
      <w:r w:rsidRPr="0042139F">
        <w:t>language description: learner guides, learner dictionaries</w:t>
      </w:r>
    </w:p>
    <w:p w14:paraId="5B53C5C4" w14:textId="77777777" w:rsidR="006145A3" w:rsidRPr="0042139F" w:rsidRDefault="006145A3" w:rsidP="006145A3">
      <w:pPr>
        <w:pStyle w:val="BulletedList"/>
      </w:pPr>
      <w:r w:rsidRPr="0042139F">
        <w:t>archival work: collecting historical and more recent language including school programmes</w:t>
      </w:r>
    </w:p>
    <w:p w14:paraId="37D6E205" w14:textId="77777777" w:rsidR="006145A3" w:rsidRPr="0042139F" w:rsidRDefault="006145A3" w:rsidP="006145A3">
      <w:pPr>
        <w:pStyle w:val="BulletedList"/>
      </w:pPr>
      <w:r w:rsidRPr="0042139F">
        <w:t>accessibility of language resources for the language community: collections, school work (e.g. website development, published collections of stories etc.).</w:t>
      </w:r>
    </w:p>
    <w:p w14:paraId="49A9B049" w14:textId="0D20291A" w:rsidR="006145A3" w:rsidRPr="00AF3F90" w:rsidRDefault="006145A3" w:rsidP="006145A3">
      <w:pPr>
        <w:pStyle w:val="Para0"/>
      </w:pPr>
      <w:r w:rsidRPr="00AF3F90">
        <w:t xml:space="preserve">The usual large-scale, standard curriculum, national language approach to education is a constant threat to the smaller Indigenous mother tongue programmes. Such </w:t>
      </w:r>
      <w:r w:rsidR="0088557F" w:rsidRPr="00AF3F90">
        <w:t>large-scale</w:t>
      </w:r>
      <w:r w:rsidRPr="00AF3F90">
        <w:t xml:space="preserve"> resourcing sits in stark contrast with small-scale, local programmes and the sheer size and quantity may give a false impression of better quality. Nevertheless, mother tongue/first language programmes are typically under-resourced, as all their systems from teaching and learning materials, curriculum documents, assessment and reporting, teacher training and accreditation have to be designed from scratch, maintained and updated by a small language team in response to every turn of the policy wheel. </w:t>
      </w:r>
    </w:p>
    <w:p w14:paraId="0DDCAB87" w14:textId="77777777" w:rsidR="006145A3" w:rsidRPr="00AE4361" w:rsidRDefault="006145A3" w:rsidP="006145A3">
      <w:pPr>
        <w:pStyle w:val="Heading2"/>
        <w:numPr>
          <w:ilvl w:val="1"/>
          <w:numId w:val="22"/>
        </w:numPr>
      </w:pPr>
      <w:bookmarkStart w:id="319" w:name="_Toc82093589"/>
      <w:bookmarkStart w:id="320" w:name="_Toc95824125"/>
      <w:r w:rsidRPr="00AE4361">
        <w:lastRenderedPageBreak/>
        <w:t xml:space="preserve">Stable but </w:t>
      </w:r>
      <w:r w:rsidRPr="0042139F">
        <w:t>responsive</w:t>
      </w:r>
      <w:r w:rsidRPr="00AE4361">
        <w:t xml:space="preserve"> language programme</w:t>
      </w:r>
      <w:r>
        <w:t xml:space="preserve"> </w:t>
      </w:r>
      <w:r w:rsidRPr="00AE4361">
        <w:t>policy</w:t>
      </w:r>
      <w:bookmarkEnd w:id="319"/>
      <w:bookmarkEnd w:id="320"/>
    </w:p>
    <w:p w14:paraId="65AD06B3" w14:textId="77777777" w:rsidR="006145A3" w:rsidRPr="00396601" w:rsidRDefault="006145A3" w:rsidP="006145A3">
      <w:pPr>
        <w:pStyle w:val="Para0"/>
      </w:pPr>
      <w:r w:rsidRPr="00396601">
        <w:t xml:space="preserve">Policies which foster Indigenous language programmes in schools are stable and ongoing. </w:t>
      </w:r>
    </w:p>
    <w:p w14:paraId="39E6E4C2" w14:textId="4AB78101" w:rsidR="006145A3" w:rsidRPr="00396601" w:rsidRDefault="006145A3" w:rsidP="006145A3">
      <w:pPr>
        <w:pStyle w:val="Para0"/>
      </w:pPr>
      <w:r w:rsidRPr="00396601">
        <w:t>Stability is key. Language learning occurs over time. Language teacher training which impacts on programme</w:t>
      </w:r>
      <w:r>
        <w:t xml:space="preserve"> d</w:t>
      </w:r>
      <w:r w:rsidRPr="00396601">
        <w:t xml:space="preserve">elivery and student language learning takes time. Putting in place the partnerships that assist with </w:t>
      </w:r>
      <w:r w:rsidR="00DC1469">
        <w:t xml:space="preserve">resource development for </w:t>
      </w:r>
      <w:r w:rsidRPr="00396601">
        <w:t xml:space="preserve">language teaching and learning takes time. Stable policies respect the time factor involved in developing small language programmes, which may have to grow every element on their own. </w:t>
      </w:r>
      <w:r w:rsidR="0088557F" w:rsidRPr="00396601">
        <w:t>Long-term</w:t>
      </w:r>
      <w:r w:rsidRPr="00396601">
        <w:t xml:space="preserve"> language learning, teacher training and capacity building cannot occur if policy goal posts are moved too often. </w:t>
      </w:r>
    </w:p>
    <w:p w14:paraId="69E2B73F" w14:textId="59E17123" w:rsidR="006145A3" w:rsidRPr="00396601" w:rsidRDefault="006145A3" w:rsidP="006145A3">
      <w:pPr>
        <w:pStyle w:val="Para0"/>
      </w:pPr>
      <w:r w:rsidRPr="00396601">
        <w:t xml:space="preserve">Stable policies </w:t>
      </w:r>
      <w:r>
        <w:t>that</w:t>
      </w:r>
      <w:r w:rsidRPr="00396601">
        <w:t xml:space="preserve"> give broad guidance in priority areas but encourage local initiative in goal setting within these areas have more positive impact (and less negative) on Indigenous language programmes. Indigenous language reference groups, language teams and schools can be accountable because they are familiar with the policy environment and their own locally generated goals. They can 'get on with the job' of supporting their language program</w:t>
      </w:r>
      <w:r>
        <w:t>me</w:t>
      </w:r>
      <w:r w:rsidRPr="00396601">
        <w:t xml:space="preserve">, rather than accommodating new requirements just because of another </w:t>
      </w:r>
      <w:r w:rsidR="0088557F" w:rsidRPr="00396601">
        <w:t>high-level</w:t>
      </w:r>
      <w:r w:rsidRPr="00396601">
        <w:t xml:space="preserve"> policy churn.</w:t>
      </w:r>
    </w:p>
    <w:p w14:paraId="399CE4BF" w14:textId="77777777" w:rsidR="006145A3" w:rsidRPr="00501540" w:rsidRDefault="006145A3" w:rsidP="006145A3">
      <w:pPr>
        <w:pStyle w:val="Heading3"/>
        <w:keepNext w:val="0"/>
        <w:keepLines w:val="0"/>
        <w:numPr>
          <w:ilvl w:val="2"/>
          <w:numId w:val="22"/>
        </w:numPr>
        <w:rPr>
          <w:rFonts w:ascii="Times New Roman" w:hAnsi="Times New Roman" w:cs="Times New Roman"/>
        </w:rPr>
      </w:pPr>
      <w:r w:rsidRPr="00501540">
        <w:rPr>
          <w:rFonts w:ascii="Times New Roman" w:hAnsi="Times New Roman" w:cs="Times New Roman"/>
        </w:rPr>
        <w:t>1) Low definition policies</w:t>
      </w:r>
    </w:p>
    <w:p w14:paraId="53004CB3" w14:textId="3D0ED6AC" w:rsidR="006145A3" w:rsidRPr="00396601" w:rsidRDefault="006145A3" w:rsidP="006145A3">
      <w:pPr>
        <w:pStyle w:val="Para0"/>
      </w:pPr>
      <w:r w:rsidRPr="00396601">
        <w:t>Language programme</w:t>
      </w:r>
      <w:r>
        <w:t xml:space="preserve"> </w:t>
      </w:r>
      <w:r w:rsidRPr="00396601">
        <w:t>policies can be stable but responsive if they are 'low definition'. 'Low definition' policies provide broad guidelines of language programme</w:t>
      </w:r>
      <w:r>
        <w:t xml:space="preserve"> </w:t>
      </w:r>
      <w:r w:rsidRPr="00396601">
        <w:t>types and clear statements of priority areas. These areas constitute the accountable elements (non-negotiables) but they are broadly defined and require local decision making to provide the specific goals within their broad parameters. For example, language programme</w:t>
      </w:r>
      <w:r>
        <w:t xml:space="preserve"> </w:t>
      </w:r>
      <w:r w:rsidRPr="00396601">
        <w:t>policies could state:</w:t>
      </w:r>
    </w:p>
    <w:p w14:paraId="4D8B5CA6" w14:textId="77777777" w:rsidR="006145A3" w:rsidRPr="0042139F" w:rsidRDefault="006145A3" w:rsidP="006145A3">
      <w:pPr>
        <w:pStyle w:val="BulletedList"/>
      </w:pPr>
      <w:r w:rsidRPr="0042139F">
        <w:t xml:space="preserve">broad brush definitions of Indigenous language programme types </w:t>
      </w:r>
    </w:p>
    <w:p w14:paraId="766E1C2D" w14:textId="77777777" w:rsidR="006145A3" w:rsidRPr="0042139F" w:rsidRDefault="006145A3" w:rsidP="006145A3">
      <w:pPr>
        <w:pStyle w:val="BulletedList"/>
      </w:pPr>
      <w:r w:rsidRPr="0042139F">
        <w:t>indicative hours of classroom teaching and learning</w:t>
      </w:r>
    </w:p>
    <w:p w14:paraId="793BDC4F" w14:textId="77777777" w:rsidR="006145A3" w:rsidRPr="0042139F" w:rsidRDefault="006145A3" w:rsidP="006145A3">
      <w:pPr>
        <w:pStyle w:val="BulletedList"/>
      </w:pPr>
      <w:r w:rsidRPr="0042139F">
        <w:t>the broad priority areas (non-negotiable) programme expectations that have to be designed locally, such as:</w:t>
      </w:r>
    </w:p>
    <w:p w14:paraId="087FCD8C" w14:textId="77777777" w:rsidR="006145A3" w:rsidRPr="0042139F" w:rsidRDefault="006145A3" w:rsidP="006145A3">
      <w:pPr>
        <w:pStyle w:val="BulletedList"/>
        <w:numPr>
          <w:ilvl w:val="1"/>
          <w:numId w:val="24"/>
        </w:numPr>
      </w:pPr>
      <w:r w:rsidRPr="0042139F">
        <w:t xml:space="preserve">Indigenous language reference groups </w:t>
      </w:r>
    </w:p>
    <w:p w14:paraId="29FD174D" w14:textId="77777777" w:rsidR="006145A3" w:rsidRPr="0042139F" w:rsidRDefault="006145A3" w:rsidP="006145A3">
      <w:pPr>
        <w:pStyle w:val="BulletedList"/>
        <w:numPr>
          <w:ilvl w:val="1"/>
          <w:numId w:val="24"/>
        </w:numPr>
      </w:pPr>
      <w:r w:rsidRPr="0042139F">
        <w:t>Indigenous community capacity building and employment</w:t>
      </w:r>
    </w:p>
    <w:p w14:paraId="6D73BB96" w14:textId="77777777" w:rsidR="006145A3" w:rsidRPr="0042139F" w:rsidRDefault="006145A3" w:rsidP="006145A3">
      <w:pPr>
        <w:pStyle w:val="BulletedList"/>
        <w:numPr>
          <w:ilvl w:val="1"/>
          <w:numId w:val="24"/>
        </w:numPr>
      </w:pPr>
      <w:r w:rsidRPr="0042139F">
        <w:t>student language gains and other benefits;</w:t>
      </w:r>
    </w:p>
    <w:p w14:paraId="0BF068CD" w14:textId="2CE31CA4" w:rsidR="006145A3" w:rsidRPr="0042139F" w:rsidRDefault="006145A3" w:rsidP="006145A3">
      <w:pPr>
        <w:pStyle w:val="BulletedList"/>
        <w:numPr>
          <w:ilvl w:val="1"/>
          <w:numId w:val="24"/>
        </w:numPr>
      </w:pPr>
      <w:r w:rsidRPr="0042139F">
        <w:t>local monitoring processes for Indigenous language program</w:t>
      </w:r>
      <w:r w:rsidR="00DC1469">
        <w:t>mes</w:t>
      </w:r>
      <w:r w:rsidRPr="0042139F">
        <w:t>;</w:t>
      </w:r>
    </w:p>
    <w:p w14:paraId="20F124F7" w14:textId="77777777" w:rsidR="006145A3" w:rsidRPr="0042139F" w:rsidRDefault="006145A3" w:rsidP="006145A3">
      <w:pPr>
        <w:pStyle w:val="BulletedList"/>
        <w:numPr>
          <w:ilvl w:val="1"/>
          <w:numId w:val="24"/>
        </w:numPr>
      </w:pPr>
      <w:r w:rsidRPr="0042139F">
        <w:t>language teaching and learning resource development.</w:t>
      </w:r>
    </w:p>
    <w:p w14:paraId="5E23DCD0" w14:textId="77777777" w:rsidR="006145A3" w:rsidRPr="00396601" w:rsidRDefault="006145A3" w:rsidP="006145A3">
      <w:pPr>
        <w:pStyle w:val="Para0"/>
      </w:pPr>
      <w:r w:rsidRPr="00396601">
        <w:t>This path is most practicable because programmes may vary hugely depending on local and individual factors.</w:t>
      </w:r>
    </w:p>
    <w:p w14:paraId="20DB0389" w14:textId="77777777" w:rsidR="006145A3" w:rsidRPr="00501540" w:rsidRDefault="006145A3" w:rsidP="006145A3">
      <w:pPr>
        <w:pStyle w:val="Heading3"/>
        <w:keepNext w:val="0"/>
        <w:keepLines w:val="0"/>
        <w:numPr>
          <w:ilvl w:val="2"/>
          <w:numId w:val="22"/>
        </w:numPr>
        <w:rPr>
          <w:rFonts w:ascii="Times New Roman" w:hAnsi="Times New Roman" w:cs="Times New Roman"/>
        </w:rPr>
      </w:pPr>
      <w:r w:rsidRPr="00501540">
        <w:rPr>
          <w:rFonts w:ascii="Times New Roman" w:hAnsi="Times New Roman" w:cs="Times New Roman"/>
        </w:rPr>
        <w:t>2) Transparent, ongoing funding commitment</w:t>
      </w:r>
    </w:p>
    <w:p w14:paraId="0D236ECC" w14:textId="77777777" w:rsidR="006145A3" w:rsidRPr="00396601" w:rsidRDefault="006145A3" w:rsidP="006145A3">
      <w:pPr>
        <w:pStyle w:val="Para0"/>
      </w:pPr>
      <w:r w:rsidRPr="00396601">
        <w:t>Policy for Indigenous language programmes should indicate, transparently, how schools are to fund their language programme</w:t>
      </w:r>
      <w:r>
        <w:t xml:space="preserve"> </w:t>
      </w:r>
      <w:r w:rsidRPr="00396601">
        <w:t>with Indigenous language communities. For example, this could be a commitment of a certain amount, perhaps on a per school basis, for an approved Indigenous language program</w:t>
      </w:r>
      <w:r>
        <w:t>me</w:t>
      </w:r>
      <w:r w:rsidRPr="00396601">
        <w:t>, which meets the curriculum and hourly teaching requirements of the programme</w:t>
      </w:r>
      <w:r>
        <w:t xml:space="preserve"> </w:t>
      </w:r>
      <w:r w:rsidRPr="00396601">
        <w:t xml:space="preserve">type. </w:t>
      </w:r>
    </w:p>
    <w:p w14:paraId="235E3B4A" w14:textId="77777777" w:rsidR="006145A3" w:rsidRPr="00501540" w:rsidRDefault="006145A3" w:rsidP="006145A3">
      <w:pPr>
        <w:pStyle w:val="Heading3"/>
        <w:keepNext w:val="0"/>
        <w:keepLines w:val="0"/>
        <w:numPr>
          <w:ilvl w:val="2"/>
          <w:numId w:val="22"/>
        </w:numPr>
        <w:rPr>
          <w:rFonts w:ascii="Times New Roman" w:hAnsi="Times New Roman" w:cs="Times New Roman"/>
        </w:rPr>
      </w:pPr>
      <w:r w:rsidRPr="00501540">
        <w:rPr>
          <w:rFonts w:ascii="Times New Roman" w:hAnsi="Times New Roman" w:cs="Times New Roman"/>
        </w:rPr>
        <w:t>3) Commitment to Indigenous staffing in language programmes</w:t>
      </w:r>
    </w:p>
    <w:p w14:paraId="71153BAE" w14:textId="77777777" w:rsidR="006145A3" w:rsidRPr="00396601" w:rsidRDefault="006145A3" w:rsidP="006145A3">
      <w:pPr>
        <w:pStyle w:val="Para0"/>
      </w:pPr>
      <w:r w:rsidRPr="00396601">
        <w:t xml:space="preserve">An area which particularly affects Indigenous language programmes is staffing. Policy co-designed with Indigenous language authorities can enhance Indigenous language programmes by supporting: </w:t>
      </w:r>
    </w:p>
    <w:p w14:paraId="569F6C15" w14:textId="77777777" w:rsidR="006145A3" w:rsidRPr="0042139F" w:rsidRDefault="006145A3" w:rsidP="006145A3">
      <w:pPr>
        <w:pStyle w:val="BulletedList"/>
      </w:pPr>
      <w:r w:rsidRPr="0042139F">
        <w:t>Indigenous language learning initiatives for adults, in informal and formal settings;</w:t>
      </w:r>
    </w:p>
    <w:p w14:paraId="3D0254CB" w14:textId="77777777" w:rsidR="006145A3" w:rsidRPr="0042139F" w:rsidRDefault="006145A3" w:rsidP="006145A3">
      <w:pPr>
        <w:pStyle w:val="BulletedList"/>
      </w:pPr>
      <w:r w:rsidRPr="0042139F">
        <w:lastRenderedPageBreak/>
        <w:t>Indigenous teacher training pathways, with flexible entry and exit points;</w:t>
      </w:r>
    </w:p>
    <w:p w14:paraId="1D7BD08E" w14:textId="77777777" w:rsidR="006145A3" w:rsidRPr="0042139F" w:rsidRDefault="006145A3" w:rsidP="006145A3">
      <w:pPr>
        <w:pStyle w:val="BulletedList"/>
      </w:pPr>
      <w:r w:rsidRPr="0042139F">
        <w:t>teaching accreditation mechanisms for speakers of Indigenous languages;</w:t>
      </w:r>
    </w:p>
    <w:p w14:paraId="31FCA523" w14:textId="204804DF" w:rsidR="007F4A01" w:rsidRDefault="0088557F" w:rsidP="0088557F">
      <w:pPr>
        <w:pStyle w:val="BulletedList"/>
      </w:pPr>
      <w:r w:rsidRPr="00F9007A">
        <w:t>In-service</w:t>
      </w:r>
      <w:r w:rsidR="006145A3" w:rsidRPr="00F9007A">
        <w:t xml:space="preserve"> professional development opportunities and sharing workshops.</w:t>
      </w:r>
    </w:p>
    <w:p w14:paraId="05EFA5E6" w14:textId="77777777" w:rsidR="007F4A01" w:rsidRDefault="007F4A01">
      <w:pPr>
        <w:widowControl/>
        <w:spacing w:after="200" w:line="276" w:lineRule="auto"/>
        <w:jc w:val="left"/>
        <w:rPr>
          <w:color w:val="000000" w:themeColor="text1"/>
          <w:sz w:val="20"/>
        </w:rPr>
      </w:pPr>
      <w:r>
        <w:br w:type="page"/>
      </w:r>
    </w:p>
    <w:bookmarkStart w:id="321" w:name="_Toc95824126" w:displacedByCustomXml="next"/>
    <w:sdt>
      <w:sdtPr>
        <w:rPr>
          <w:rFonts w:asciiTheme="minorHAnsi" w:eastAsiaTheme="minorHAnsi" w:hAnsiTheme="minorHAnsi" w:cstheme="minorBidi"/>
          <w:b w:val="0"/>
          <w:color w:val="auto"/>
          <w:sz w:val="22"/>
          <w:szCs w:val="22"/>
        </w:rPr>
        <w:id w:val="-262839434"/>
        <w:docPartObj>
          <w:docPartGallery w:val="Bibliographies"/>
          <w:docPartUnique/>
        </w:docPartObj>
      </w:sdtPr>
      <w:sdtEndPr/>
      <w:sdtContent>
        <w:p w14:paraId="7B1E61B7" w14:textId="2661273F" w:rsidR="00307F9E" w:rsidRDefault="00307F9E" w:rsidP="00307F9E">
          <w:pPr>
            <w:pStyle w:val="Title"/>
          </w:pPr>
          <w:r>
            <w:t>References</w:t>
          </w:r>
          <w:bookmarkEnd w:id="321"/>
        </w:p>
        <w:sdt>
          <w:sdtPr>
            <w:id w:val="1336032325"/>
            <w:bibliography/>
          </w:sdtPr>
          <w:sdtEndPr/>
          <w:sdtContent>
            <w:p w14:paraId="623EC490" w14:textId="77777777" w:rsidR="00307F9E" w:rsidRDefault="00307F9E">
              <w:pPr>
                <w:rPr>
                  <w:noProof/>
                </w:rPr>
              </w:pPr>
              <w:r>
                <w:fldChar w:fldCharType="begin"/>
              </w:r>
              <w:r>
                <w:instrText xml:space="preserve"> BIBLIOGRAPHY </w:instrText>
              </w:r>
              <w:r>
                <w:fldChar w:fldCharType="separate"/>
              </w:r>
            </w:p>
            <w:tbl>
              <w:tblPr>
                <w:tblW w:w="4880" w:type="pct"/>
                <w:tblInd w:w="60" w:type="dxa"/>
                <w:tblCellMar>
                  <w:top w:w="60" w:type="dxa"/>
                  <w:left w:w="60" w:type="dxa"/>
                  <w:bottom w:w="60" w:type="dxa"/>
                  <w:right w:w="60" w:type="dxa"/>
                </w:tblCellMar>
                <w:tblLook w:val="04A0" w:firstRow="1" w:lastRow="0" w:firstColumn="1" w:lastColumn="0" w:noHBand="0" w:noVBand="1"/>
              </w:tblPr>
              <w:tblGrid>
                <w:gridCol w:w="8787"/>
                <w:gridCol w:w="451"/>
              </w:tblGrid>
              <w:tr w:rsidR="00307F9E" w14:paraId="493A66BB" w14:textId="77777777">
                <w:trPr>
                  <w:divId w:val="465852184"/>
                </w:trPr>
                <w:tc>
                  <w:tcPr>
                    <w:tcW w:w="0" w:type="auto"/>
                    <w:hideMark/>
                  </w:tcPr>
                  <w:p w14:paraId="6161D2F8" w14:textId="4AACCCEF" w:rsidR="00307F9E" w:rsidRDefault="00307F9E">
                    <w:pPr>
                      <w:pStyle w:val="Bibliography"/>
                      <w:rPr>
                        <w:noProof/>
                        <w:sz w:val="24"/>
                        <w:szCs w:val="24"/>
                      </w:rPr>
                    </w:pPr>
                    <w:r>
                      <w:rPr>
                        <w:noProof/>
                      </w:rPr>
                      <w:t xml:space="preserve">Abrahamsson, N. and K. Hyltenstam (2009), “Age of Onset and Nativelikeness in a Second Language: Listener Perception Versus Linguistic Scrutiny”, </w:t>
                    </w:r>
                    <w:r>
                      <w:rPr>
                        <w:i/>
                        <w:iCs/>
                        <w:noProof/>
                      </w:rPr>
                      <w:t>Language Learning</w:t>
                    </w:r>
                    <w:r>
                      <w:rPr>
                        <w:noProof/>
                      </w:rPr>
                      <w:t xml:space="preserve">, Vol. 59/2, pp. 249-306, </w:t>
                    </w:r>
                    <w:r>
                      <w:rPr>
                        <w:noProof/>
                        <w:color w:val="0000FF"/>
                        <w:u w:val="single"/>
                      </w:rPr>
                      <w:t>http://dx.doi.org/10.1111/j.1467-9922.2009.00507.x</w:t>
                    </w:r>
                    <w:r>
                      <w:rPr>
                        <w:noProof/>
                      </w:rPr>
                      <w:t>.</w:t>
                    </w:r>
                  </w:p>
                </w:tc>
                <w:tc>
                  <w:tcPr>
                    <w:tcW w:w="600" w:type="dxa"/>
                    <w:noWrap/>
                    <w:hideMark/>
                  </w:tcPr>
                  <w:p w14:paraId="00E76C82" w14:textId="77777777" w:rsidR="00307F9E" w:rsidRDefault="00307F9E">
                    <w:pPr>
                      <w:spacing w:before="100" w:beforeAutospacing="1" w:after="100" w:afterAutospacing="1"/>
                      <w:jc w:val="right"/>
                      <w:rPr>
                        <w:noProof/>
                      </w:rPr>
                    </w:pPr>
                    <w:r>
                      <w:rPr>
                        <w:noProof/>
                        <w:color w:val="000000"/>
                        <w:sz w:val="16"/>
                        <w:szCs w:val="16"/>
                      </w:rPr>
                      <w:t>[146]</w:t>
                    </w:r>
                  </w:p>
                </w:tc>
              </w:tr>
              <w:tr w:rsidR="00307F9E" w14:paraId="1CF52296" w14:textId="77777777">
                <w:trPr>
                  <w:divId w:val="465852184"/>
                </w:trPr>
                <w:tc>
                  <w:tcPr>
                    <w:tcW w:w="0" w:type="auto"/>
                    <w:hideMark/>
                  </w:tcPr>
                  <w:p w14:paraId="6083F3EB" w14:textId="77777777" w:rsidR="00307F9E" w:rsidRDefault="00307F9E">
                    <w:pPr>
                      <w:pStyle w:val="Bibliography"/>
                      <w:rPr>
                        <w:noProof/>
                      </w:rPr>
                    </w:pPr>
                    <w:r>
                      <w:rPr>
                        <w:noProof/>
                      </w:rPr>
                      <w:t xml:space="preserve">Amery, R. (2016), </w:t>
                    </w:r>
                    <w:r>
                      <w:rPr>
                        <w:i/>
                        <w:iCs/>
                        <w:noProof/>
                      </w:rPr>
                      <w:t>Warraparna Kaurna! Reclaiming an Australian language</w:t>
                    </w:r>
                    <w:r>
                      <w:rPr>
                        <w:noProof/>
                      </w:rPr>
                      <w:t>, University of Adelaide Press, Adelaide.</w:t>
                    </w:r>
                  </w:p>
                </w:tc>
                <w:tc>
                  <w:tcPr>
                    <w:tcW w:w="600" w:type="dxa"/>
                    <w:noWrap/>
                    <w:hideMark/>
                  </w:tcPr>
                  <w:p w14:paraId="41315776" w14:textId="77777777" w:rsidR="00307F9E" w:rsidRDefault="00307F9E">
                    <w:pPr>
                      <w:spacing w:before="100" w:beforeAutospacing="1" w:after="100" w:afterAutospacing="1"/>
                      <w:jc w:val="right"/>
                      <w:rPr>
                        <w:noProof/>
                      </w:rPr>
                    </w:pPr>
                    <w:r>
                      <w:rPr>
                        <w:noProof/>
                        <w:color w:val="000000"/>
                        <w:sz w:val="16"/>
                        <w:szCs w:val="16"/>
                      </w:rPr>
                      <w:t>[176]</w:t>
                    </w:r>
                  </w:p>
                </w:tc>
              </w:tr>
              <w:tr w:rsidR="00307F9E" w14:paraId="2392A319" w14:textId="77777777">
                <w:trPr>
                  <w:divId w:val="465852184"/>
                </w:trPr>
                <w:tc>
                  <w:tcPr>
                    <w:tcW w:w="0" w:type="auto"/>
                    <w:hideMark/>
                  </w:tcPr>
                  <w:p w14:paraId="033C8A5F" w14:textId="77777777" w:rsidR="00307F9E" w:rsidRDefault="00307F9E">
                    <w:pPr>
                      <w:pStyle w:val="Bibliography"/>
                      <w:rPr>
                        <w:noProof/>
                      </w:rPr>
                    </w:pPr>
                    <w:r>
                      <w:rPr>
                        <w:noProof/>
                      </w:rPr>
                      <w:t xml:space="preserve">Angelo, D., C. Hudson and S. Macqueen (2019), </w:t>
                    </w:r>
                    <w:r>
                      <w:rPr>
                        <w:i/>
                        <w:iCs/>
                        <w:noProof/>
                      </w:rPr>
                      <w:t>Submission 76 to the Productivity Commission Indigenous Evaluation Strategy</w:t>
                    </w:r>
                    <w:r>
                      <w:rPr>
                        <w:noProof/>
                      </w:rPr>
                      <w:t xml:space="preserve">, </w:t>
                    </w:r>
                    <w:r>
                      <w:rPr>
                        <w:noProof/>
                        <w:color w:val="0000FF"/>
                        <w:u w:val="single"/>
                      </w:rPr>
                      <w:t>https://www.pc.gov.au/__data/assets/pdf_file/0020/244901/sub076-indigenous-evaluation.pdf</w:t>
                    </w:r>
                    <w:r>
                      <w:rPr>
                        <w:noProof/>
                      </w:rPr>
                      <w:t xml:space="preserve"> (accessed on 4 October 2021).</w:t>
                    </w:r>
                  </w:p>
                </w:tc>
                <w:tc>
                  <w:tcPr>
                    <w:tcW w:w="600" w:type="dxa"/>
                    <w:noWrap/>
                    <w:hideMark/>
                  </w:tcPr>
                  <w:p w14:paraId="449502A1" w14:textId="77777777" w:rsidR="00307F9E" w:rsidRDefault="00307F9E">
                    <w:pPr>
                      <w:spacing w:before="100" w:beforeAutospacing="1" w:after="100" w:afterAutospacing="1"/>
                      <w:jc w:val="right"/>
                      <w:rPr>
                        <w:noProof/>
                      </w:rPr>
                    </w:pPr>
                    <w:r>
                      <w:rPr>
                        <w:noProof/>
                        <w:color w:val="000000"/>
                        <w:sz w:val="16"/>
                        <w:szCs w:val="16"/>
                      </w:rPr>
                      <w:t>[216]</w:t>
                    </w:r>
                  </w:p>
                </w:tc>
              </w:tr>
              <w:tr w:rsidR="00307F9E" w14:paraId="7E094F09" w14:textId="77777777">
                <w:trPr>
                  <w:divId w:val="465852184"/>
                </w:trPr>
                <w:tc>
                  <w:tcPr>
                    <w:tcW w:w="0" w:type="auto"/>
                    <w:hideMark/>
                  </w:tcPr>
                  <w:p w14:paraId="4B87C0EF" w14:textId="77777777" w:rsidR="00307F9E" w:rsidRDefault="00307F9E">
                    <w:pPr>
                      <w:pStyle w:val="Bibliography"/>
                      <w:rPr>
                        <w:noProof/>
                      </w:rPr>
                    </w:pPr>
                    <w:r>
                      <w:rPr>
                        <w:noProof/>
                      </w:rPr>
                      <w:t xml:space="preserve">Angelo, D. et al. (2019), </w:t>
                    </w:r>
                    <w:r>
                      <w:rPr>
                        <w:i/>
                        <w:iCs/>
                        <w:noProof/>
                      </w:rPr>
                      <w:t>Well-being and Indigenous Language Ecologies (WILE): A strengths-based approach. [Literature Review, National Indigenous Languages Report, Pillar 2.</w:t>
                    </w:r>
                    <w:r>
                      <w:rPr>
                        <w:noProof/>
                      </w:rPr>
                      <w:t>, ARC Centre of Excellence for the Dynamics of Language, Australian National University, Canberra.</w:t>
                    </w:r>
                  </w:p>
                </w:tc>
                <w:tc>
                  <w:tcPr>
                    <w:tcW w:w="600" w:type="dxa"/>
                    <w:noWrap/>
                    <w:hideMark/>
                  </w:tcPr>
                  <w:p w14:paraId="32017C46" w14:textId="77777777" w:rsidR="00307F9E" w:rsidRDefault="00307F9E">
                    <w:pPr>
                      <w:spacing w:before="100" w:beforeAutospacing="1" w:after="100" w:afterAutospacing="1"/>
                      <w:jc w:val="right"/>
                      <w:rPr>
                        <w:noProof/>
                      </w:rPr>
                    </w:pPr>
                    <w:r>
                      <w:rPr>
                        <w:noProof/>
                        <w:color w:val="000000"/>
                        <w:sz w:val="16"/>
                        <w:szCs w:val="16"/>
                      </w:rPr>
                      <w:t>[49]</w:t>
                    </w:r>
                  </w:p>
                </w:tc>
              </w:tr>
              <w:tr w:rsidR="00307F9E" w14:paraId="354C7D34" w14:textId="77777777">
                <w:trPr>
                  <w:divId w:val="465852184"/>
                </w:trPr>
                <w:tc>
                  <w:tcPr>
                    <w:tcW w:w="0" w:type="auto"/>
                    <w:hideMark/>
                  </w:tcPr>
                  <w:p w14:paraId="462A02A8" w14:textId="77777777" w:rsidR="00307F9E" w:rsidRDefault="00307F9E">
                    <w:pPr>
                      <w:pStyle w:val="Bibliography"/>
                      <w:rPr>
                        <w:noProof/>
                      </w:rPr>
                    </w:pPr>
                    <w:r>
                      <w:rPr>
                        <w:noProof/>
                      </w:rPr>
                      <w:t xml:space="preserve">Angelo, D. and S. Poetsch (2019), “From the ground up: How Aboriginal languages teachers design school-based programs in their local language ecology, with Carmel Ryan, Marmingee Hand, Nathan Schrieber and Michael Jarrett”, </w:t>
                    </w:r>
                    <w:r>
                      <w:rPr>
                        <w:i/>
                        <w:iCs/>
                        <w:noProof/>
                      </w:rPr>
                      <w:t>Babel</w:t>
                    </w:r>
                    <w:r>
                      <w:rPr>
                        <w:noProof/>
                      </w:rPr>
                      <w:t>, Vol. 54, pp. 11-20.</w:t>
                    </w:r>
                  </w:p>
                </w:tc>
                <w:tc>
                  <w:tcPr>
                    <w:tcW w:w="600" w:type="dxa"/>
                    <w:noWrap/>
                    <w:hideMark/>
                  </w:tcPr>
                  <w:p w14:paraId="54B4C092" w14:textId="77777777" w:rsidR="00307F9E" w:rsidRDefault="00307F9E">
                    <w:pPr>
                      <w:spacing w:before="100" w:beforeAutospacing="1" w:after="100" w:afterAutospacing="1"/>
                      <w:jc w:val="right"/>
                      <w:rPr>
                        <w:noProof/>
                      </w:rPr>
                    </w:pPr>
                    <w:r>
                      <w:rPr>
                        <w:noProof/>
                        <w:color w:val="000000"/>
                        <w:sz w:val="16"/>
                        <w:szCs w:val="16"/>
                      </w:rPr>
                      <w:t>[44]</w:t>
                    </w:r>
                  </w:p>
                </w:tc>
              </w:tr>
              <w:tr w:rsidR="00307F9E" w14:paraId="5A5C2047" w14:textId="77777777">
                <w:trPr>
                  <w:divId w:val="465852184"/>
                </w:trPr>
                <w:tc>
                  <w:tcPr>
                    <w:tcW w:w="0" w:type="auto"/>
                    <w:hideMark/>
                  </w:tcPr>
                  <w:p w14:paraId="526BF766" w14:textId="77777777" w:rsidR="00307F9E" w:rsidRDefault="00307F9E">
                    <w:pPr>
                      <w:pStyle w:val="Bibliography"/>
                      <w:rPr>
                        <w:noProof/>
                      </w:rPr>
                    </w:pPr>
                    <w:r>
                      <w:rPr>
                        <w:noProof/>
                      </w:rPr>
                      <w:t xml:space="preserve">Australian Bureau of Statistics (2019), </w:t>
                    </w:r>
                    <w:r>
                      <w:rPr>
                        <w:i/>
                        <w:iCs/>
                        <w:noProof/>
                      </w:rPr>
                      <w:t>Census of Population and Housing: Characteristics of Aboriginal and Torres Strait Islander Australians, 2016 - 2076.0: Main language spoken at home and English proficiency</w:t>
                    </w:r>
                    <w:r>
                      <w:rPr>
                        <w:noProof/>
                      </w:rPr>
                      <w:t xml:space="preserve">, </w:t>
                    </w:r>
                    <w:r>
                      <w:rPr>
                        <w:noProof/>
                        <w:color w:val="0000FF"/>
                        <w:u w:val="single"/>
                      </w:rPr>
                      <w:t>https://www.abs.gov.au/Ausstats/abs@.nsf/7d12b0f6763c78caca257061001cc588/656ea6473a7580bbca258236000c30f7!OpenDocument</w:t>
                    </w:r>
                    <w:r>
                      <w:rPr>
                        <w:noProof/>
                      </w:rPr>
                      <w:t xml:space="preserve"> (accessed on 24 September 2021).</w:t>
                    </w:r>
                  </w:p>
                </w:tc>
                <w:tc>
                  <w:tcPr>
                    <w:tcW w:w="600" w:type="dxa"/>
                    <w:noWrap/>
                    <w:hideMark/>
                  </w:tcPr>
                  <w:p w14:paraId="12FEF726" w14:textId="77777777" w:rsidR="00307F9E" w:rsidRDefault="00307F9E">
                    <w:pPr>
                      <w:spacing w:before="100" w:beforeAutospacing="1" w:after="100" w:afterAutospacing="1"/>
                      <w:jc w:val="right"/>
                      <w:rPr>
                        <w:noProof/>
                      </w:rPr>
                    </w:pPr>
                    <w:r>
                      <w:rPr>
                        <w:noProof/>
                        <w:color w:val="000000"/>
                        <w:sz w:val="16"/>
                        <w:szCs w:val="16"/>
                      </w:rPr>
                      <w:t>[15]</w:t>
                    </w:r>
                  </w:p>
                </w:tc>
              </w:tr>
              <w:tr w:rsidR="00307F9E" w14:paraId="0E8A1D02" w14:textId="77777777">
                <w:trPr>
                  <w:divId w:val="465852184"/>
                </w:trPr>
                <w:tc>
                  <w:tcPr>
                    <w:tcW w:w="0" w:type="auto"/>
                    <w:hideMark/>
                  </w:tcPr>
                  <w:p w14:paraId="1B4F3BD5" w14:textId="77777777" w:rsidR="00307F9E" w:rsidRDefault="00307F9E">
                    <w:pPr>
                      <w:pStyle w:val="Bibliography"/>
                      <w:rPr>
                        <w:noProof/>
                      </w:rPr>
                    </w:pPr>
                    <w:r>
                      <w:rPr>
                        <w:noProof/>
                      </w:rPr>
                      <w:t xml:space="preserve">Australian Bureau of Statistics (2016), </w:t>
                    </w:r>
                    <w:r>
                      <w:rPr>
                        <w:i/>
                        <w:iCs/>
                        <w:noProof/>
                      </w:rPr>
                      <w:t>Australian Standard Classification of Languages (ASCL) - 1267.0</w:t>
                    </w:r>
                    <w:r>
                      <w:rPr>
                        <w:noProof/>
                      </w:rPr>
                      <w:t>.</w:t>
                    </w:r>
                  </w:p>
                </w:tc>
                <w:tc>
                  <w:tcPr>
                    <w:tcW w:w="600" w:type="dxa"/>
                    <w:noWrap/>
                    <w:hideMark/>
                  </w:tcPr>
                  <w:p w14:paraId="49B70D68" w14:textId="77777777" w:rsidR="00307F9E" w:rsidRDefault="00307F9E">
                    <w:pPr>
                      <w:spacing w:before="100" w:beforeAutospacing="1" w:after="100" w:afterAutospacing="1"/>
                      <w:jc w:val="right"/>
                      <w:rPr>
                        <w:noProof/>
                      </w:rPr>
                    </w:pPr>
                    <w:r>
                      <w:rPr>
                        <w:noProof/>
                        <w:color w:val="000000"/>
                        <w:sz w:val="16"/>
                        <w:szCs w:val="16"/>
                      </w:rPr>
                      <w:t>[12]</w:t>
                    </w:r>
                  </w:p>
                </w:tc>
              </w:tr>
              <w:tr w:rsidR="00307F9E" w14:paraId="7E74AF46" w14:textId="77777777">
                <w:trPr>
                  <w:divId w:val="465852184"/>
                </w:trPr>
                <w:tc>
                  <w:tcPr>
                    <w:tcW w:w="0" w:type="auto"/>
                    <w:hideMark/>
                  </w:tcPr>
                  <w:p w14:paraId="6387A17A" w14:textId="77777777" w:rsidR="00307F9E" w:rsidRDefault="00307F9E">
                    <w:pPr>
                      <w:pStyle w:val="Bibliography"/>
                      <w:rPr>
                        <w:noProof/>
                      </w:rPr>
                    </w:pPr>
                    <w:r>
                      <w:rPr>
                        <w:noProof/>
                      </w:rPr>
                      <w:t xml:space="preserve">Australian Capital Territory Government (2018), </w:t>
                    </w:r>
                    <w:r>
                      <w:rPr>
                        <w:i/>
                        <w:iCs/>
                        <w:noProof/>
                      </w:rPr>
                      <w:t>ACT language services policy</w:t>
                    </w:r>
                    <w:r>
                      <w:rPr>
                        <w:noProof/>
                      </w:rPr>
                      <w:t>, Australian Capital Territory Government, Canberra.</w:t>
                    </w:r>
                  </w:p>
                </w:tc>
                <w:tc>
                  <w:tcPr>
                    <w:tcW w:w="600" w:type="dxa"/>
                    <w:noWrap/>
                    <w:hideMark/>
                  </w:tcPr>
                  <w:p w14:paraId="654AB7A9" w14:textId="77777777" w:rsidR="00307F9E" w:rsidRDefault="00307F9E">
                    <w:pPr>
                      <w:spacing w:before="100" w:beforeAutospacing="1" w:after="100" w:afterAutospacing="1"/>
                      <w:jc w:val="right"/>
                      <w:rPr>
                        <w:noProof/>
                      </w:rPr>
                    </w:pPr>
                    <w:r>
                      <w:rPr>
                        <w:noProof/>
                        <w:color w:val="000000"/>
                        <w:sz w:val="16"/>
                        <w:szCs w:val="16"/>
                      </w:rPr>
                      <w:t>[72]</w:t>
                    </w:r>
                  </w:p>
                </w:tc>
              </w:tr>
              <w:tr w:rsidR="00307F9E" w14:paraId="215CD7D6" w14:textId="77777777">
                <w:trPr>
                  <w:divId w:val="465852184"/>
                </w:trPr>
                <w:tc>
                  <w:tcPr>
                    <w:tcW w:w="0" w:type="auto"/>
                    <w:hideMark/>
                  </w:tcPr>
                  <w:p w14:paraId="5D750B50" w14:textId="77777777" w:rsidR="00307F9E" w:rsidRDefault="00307F9E">
                    <w:pPr>
                      <w:pStyle w:val="Bibliography"/>
                      <w:rPr>
                        <w:noProof/>
                      </w:rPr>
                    </w:pPr>
                    <w:r>
                      <w:rPr>
                        <w:noProof/>
                      </w:rPr>
                      <w:t xml:space="preserve">Australian Curriculum Assessment and Reporting Authority (2016), </w:t>
                    </w:r>
                    <w:r>
                      <w:rPr>
                        <w:i/>
                        <w:iCs/>
                        <w:noProof/>
                      </w:rPr>
                      <w:t>Framework for Aboriginal languages and Torres Strait Islander languages</w:t>
                    </w:r>
                    <w:r>
                      <w:rPr>
                        <w:noProof/>
                      </w:rPr>
                      <w:t xml:space="preserve">, </w:t>
                    </w:r>
                    <w:r>
                      <w:rPr>
                        <w:noProof/>
                        <w:color w:val="0000FF"/>
                        <w:u w:val="single"/>
                      </w:rPr>
                      <w:t>https://www.australiancurriculum.edu.au/f-10-curriculum/languages/framework-for-aboriginal-languages-and-torres-strait-islander-languages/</w:t>
                    </w:r>
                    <w:r>
                      <w:rPr>
                        <w:noProof/>
                      </w:rPr>
                      <w:t xml:space="preserve"> (accessed on 24 September 2021).</w:t>
                    </w:r>
                  </w:p>
                </w:tc>
                <w:tc>
                  <w:tcPr>
                    <w:tcW w:w="600" w:type="dxa"/>
                    <w:noWrap/>
                    <w:hideMark/>
                  </w:tcPr>
                  <w:p w14:paraId="6E3FD1B4" w14:textId="77777777" w:rsidR="00307F9E" w:rsidRDefault="00307F9E">
                    <w:pPr>
                      <w:spacing w:before="100" w:beforeAutospacing="1" w:after="100" w:afterAutospacing="1"/>
                      <w:jc w:val="right"/>
                      <w:rPr>
                        <w:noProof/>
                      </w:rPr>
                    </w:pPr>
                    <w:r>
                      <w:rPr>
                        <w:noProof/>
                        <w:color w:val="000000"/>
                        <w:sz w:val="16"/>
                        <w:szCs w:val="16"/>
                      </w:rPr>
                      <w:t>[23]</w:t>
                    </w:r>
                  </w:p>
                </w:tc>
              </w:tr>
              <w:tr w:rsidR="00307F9E" w14:paraId="133F9869" w14:textId="77777777">
                <w:trPr>
                  <w:divId w:val="465852184"/>
                </w:trPr>
                <w:tc>
                  <w:tcPr>
                    <w:tcW w:w="0" w:type="auto"/>
                    <w:hideMark/>
                  </w:tcPr>
                  <w:p w14:paraId="01D0E086" w14:textId="77777777" w:rsidR="00307F9E" w:rsidRDefault="00307F9E">
                    <w:pPr>
                      <w:pStyle w:val="Bibliography"/>
                      <w:rPr>
                        <w:noProof/>
                      </w:rPr>
                    </w:pPr>
                    <w:r>
                      <w:rPr>
                        <w:noProof/>
                      </w:rPr>
                      <w:t xml:space="preserve">Australian Curriculum Assessment and Reporting Authority (n.d.), </w:t>
                    </w:r>
                    <w:r>
                      <w:rPr>
                        <w:i/>
                        <w:iCs/>
                        <w:noProof/>
                      </w:rPr>
                      <w:t>About the Australian Curriculum</w:t>
                    </w:r>
                    <w:r>
                      <w:rPr>
                        <w:noProof/>
                      </w:rPr>
                      <w:t xml:space="preserve">, </w:t>
                    </w:r>
                    <w:r>
                      <w:rPr>
                        <w:noProof/>
                        <w:color w:val="0000FF"/>
                        <w:u w:val="single"/>
                      </w:rPr>
                      <w:t>https://www.australiancurriculum.edu.au/about-the-australian-curriculum/</w:t>
                    </w:r>
                    <w:r>
                      <w:rPr>
                        <w:noProof/>
                      </w:rPr>
                      <w:t xml:space="preserve"> (accessed on 4 October 2021).</w:t>
                    </w:r>
                  </w:p>
                </w:tc>
                <w:tc>
                  <w:tcPr>
                    <w:tcW w:w="600" w:type="dxa"/>
                    <w:noWrap/>
                    <w:hideMark/>
                  </w:tcPr>
                  <w:p w14:paraId="45421580" w14:textId="77777777" w:rsidR="00307F9E" w:rsidRDefault="00307F9E">
                    <w:pPr>
                      <w:spacing w:before="100" w:beforeAutospacing="1" w:after="100" w:afterAutospacing="1"/>
                      <w:jc w:val="right"/>
                      <w:rPr>
                        <w:noProof/>
                      </w:rPr>
                    </w:pPr>
                    <w:r>
                      <w:rPr>
                        <w:noProof/>
                        <w:color w:val="000000"/>
                        <w:sz w:val="16"/>
                        <w:szCs w:val="16"/>
                      </w:rPr>
                      <w:t>[53]</w:t>
                    </w:r>
                  </w:p>
                </w:tc>
              </w:tr>
              <w:tr w:rsidR="00307F9E" w14:paraId="6E7EB0E8" w14:textId="77777777">
                <w:trPr>
                  <w:divId w:val="465852184"/>
                </w:trPr>
                <w:tc>
                  <w:tcPr>
                    <w:tcW w:w="0" w:type="auto"/>
                    <w:hideMark/>
                  </w:tcPr>
                  <w:p w14:paraId="09C6B483" w14:textId="77777777" w:rsidR="00307F9E" w:rsidRDefault="00307F9E">
                    <w:pPr>
                      <w:pStyle w:val="Bibliography"/>
                      <w:rPr>
                        <w:noProof/>
                      </w:rPr>
                    </w:pPr>
                    <w:r>
                      <w:rPr>
                        <w:noProof/>
                      </w:rPr>
                      <w:lastRenderedPageBreak/>
                      <w:t xml:space="preserve">Aylward, M. (2010), “The role of Inuit languages in Nunavut schooling: Nunavut teachers talk about bilingual education”, </w:t>
                    </w:r>
                    <w:r>
                      <w:rPr>
                        <w:i/>
                        <w:iCs/>
                        <w:noProof/>
                      </w:rPr>
                      <w:t>Canadian Journal of Education / Revue canadienne de l’éducation</w:t>
                    </w:r>
                    <w:r>
                      <w:rPr>
                        <w:noProof/>
                      </w:rPr>
                      <w:t xml:space="preserve">, Vol. 33, pp. 295-328, </w:t>
                    </w:r>
                    <w:r>
                      <w:rPr>
                        <w:noProof/>
                        <w:color w:val="0000FF"/>
                        <w:u w:val="single"/>
                      </w:rPr>
                      <w:t>https://www.jstor.org/stable/canajeducrevucan.33.2.295</w:t>
                    </w:r>
                    <w:r>
                      <w:rPr>
                        <w:noProof/>
                      </w:rPr>
                      <w:t xml:space="preserve"> (accessed on 4 October 2021).</w:t>
                    </w:r>
                  </w:p>
                </w:tc>
                <w:tc>
                  <w:tcPr>
                    <w:tcW w:w="600" w:type="dxa"/>
                    <w:noWrap/>
                    <w:hideMark/>
                  </w:tcPr>
                  <w:p w14:paraId="2707BA31" w14:textId="77777777" w:rsidR="00307F9E" w:rsidRDefault="00307F9E">
                    <w:pPr>
                      <w:spacing w:before="100" w:beforeAutospacing="1" w:after="100" w:afterAutospacing="1"/>
                      <w:jc w:val="right"/>
                      <w:rPr>
                        <w:noProof/>
                      </w:rPr>
                    </w:pPr>
                    <w:r>
                      <w:rPr>
                        <w:noProof/>
                        <w:color w:val="000000"/>
                        <w:sz w:val="16"/>
                        <w:szCs w:val="16"/>
                      </w:rPr>
                      <w:t>[202]</w:t>
                    </w:r>
                  </w:p>
                </w:tc>
              </w:tr>
              <w:tr w:rsidR="00307F9E" w14:paraId="3F24DB1D" w14:textId="77777777">
                <w:trPr>
                  <w:divId w:val="465852184"/>
                </w:trPr>
                <w:tc>
                  <w:tcPr>
                    <w:tcW w:w="0" w:type="auto"/>
                    <w:hideMark/>
                  </w:tcPr>
                  <w:p w14:paraId="0D559C96" w14:textId="77777777" w:rsidR="00307F9E" w:rsidRDefault="00307F9E">
                    <w:pPr>
                      <w:pStyle w:val="Bibliography"/>
                      <w:rPr>
                        <w:noProof/>
                      </w:rPr>
                    </w:pPr>
                    <w:r>
                      <w:rPr>
                        <w:noProof/>
                      </w:rPr>
                      <w:t xml:space="preserve">Backman, L. (1990), </w:t>
                    </w:r>
                    <w:r>
                      <w:rPr>
                        <w:i/>
                        <w:iCs/>
                        <w:noProof/>
                      </w:rPr>
                      <w:t>Fundamental considerations in language testing</w:t>
                    </w:r>
                    <w:r>
                      <w:rPr>
                        <w:noProof/>
                      </w:rPr>
                      <w:t>, Ocford University Press, Oxford.</w:t>
                    </w:r>
                  </w:p>
                </w:tc>
                <w:tc>
                  <w:tcPr>
                    <w:tcW w:w="600" w:type="dxa"/>
                    <w:noWrap/>
                    <w:hideMark/>
                  </w:tcPr>
                  <w:p w14:paraId="2864D3FA" w14:textId="77777777" w:rsidR="00307F9E" w:rsidRDefault="00307F9E">
                    <w:pPr>
                      <w:spacing w:before="100" w:beforeAutospacing="1" w:after="100" w:afterAutospacing="1"/>
                      <w:jc w:val="right"/>
                      <w:rPr>
                        <w:noProof/>
                      </w:rPr>
                    </w:pPr>
                    <w:r>
                      <w:rPr>
                        <w:noProof/>
                        <w:color w:val="000000"/>
                        <w:sz w:val="16"/>
                        <w:szCs w:val="16"/>
                      </w:rPr>
                      <w:t>[134]</w:t>
                    </w:r>
                  </w:p>
                </w:tc>
              </w:tr>
              <w:tr w:rsidR="00307F9E" w14:paraId="1719BCA6" w14:textId="77777777">
                <w:trPr>
                  <w:divId w:val="465852184"/>
                </w:trPr>
                <w:tc>
                  <w:tcPr>
                    <w:tcW w:w="0" w:type="auto"/>
                    <w:hideMark/>
                  </w:tcPr>
                  <w:p w14:paraId="03F6B158" w14:textId="77777777" w:rsidR="00307F9E" w:rsidRDefault="00307F9E">
                    <w:pPr>
                      <w:pStyle w:val="Bibliography"/>
                      <w:rPr>
                        <w:noProof/>
                      </w:rPr>
                    </w:pPr>
                    <w:r>
                      <w:rPr>
                        <w:noProof/>
                      </w:rPr>
                      <w:t xml:space="preserve">Baker, O. (2017), “Mandatory Indigenous curriculum part of N.B.’s 10-year education plan”, </w:t>
                    </w:r>
                    <w:r>
                      <w:rPr>
                        <w:i/>
                        <w:iCs/>
                        <w:noProof/>
                      </w:rPr>
                      <w:t>CBC News</w:t>
                    </w:r>
                    <w:r>
                      <w:rPr>
                        <w:noProof/>
                      </w:rPr>
                      <w:t xml:space="preserve">, </w:t>
                    </w:r>
                    <w:r>
                      <w:rPr>
                        <w:noProof/>
                        <w:color w:val="0000FF"/>
                        <w:u w:val="single"/>
                      </w:rPr>
                      <w:t>https://www.cbc.ca/news/canada/new-brunswick/indigenous-curriculum-changes-2017-1.3998217</w:t>
                    </w:r>
                    <w:r>
                      <w:rPr>
                        <w:noProof/>
                      </w:rPr>
                      <w:t xml:space="preserve"> (accessed on 4 October 2021).</w:t>
                    </w:r>
                  </w:p>
                </w:tc>
                <w:tc>
                  <w:tcPr>
                    <w:tcW w:w="600" w:type="dxa"/>
                    <w:noWrap/>
                    <w:hideMark/>
                  </w:tcPr>
                  <w:p w14:paraId="29FE2D39" w14:textId="77777777" w:rsidR="00307F9E" w:rsidRDefault="00307F9E">
                    <w:pPr>
                      <w:spacing w:before="100" w:beforeAutospacing="1" w:after="100" w:afterAutospacing="1"/>
                      <w:jc w:val="right"/>
                      <w:rPr>
                        <w:noProof/>
                      </w:rPr>
                    </w:pPr>
                    <w:r>
                      <w:rPr>
                        <w:noProof/>
                        <w:color w:val="000000"/>
                        <w:sz w:val="16"/>
                        <w:szCs w:val="16"/>
                      </w:rPr>
                      <w:t>[101]</w:t>
                    </w:r>
                  </w:p>
                </w:tc>
              </w:tr>
              <w:tr w:rsidR="00307F9E" w14:paraId="08938CE8" w14:textId="77777777">
                <w:trPr>
                  <w:divId w:val="465852184"/>
                </w:trPr>
                <w:tc>
                  <w:tcPr>
                    <w:tcW w:w="0" w:type="auto"/>
                    <w:hideMark/>
                  </w:tcPr>
                  <w:p w14:paraId="5166F715" w14:textId="77777777" w:rsidR="00307F9E" w:rsidRDefault="00307F9E">
                    <w:pPr>
                      <w:pStyle w:val="Bibliography"/>
                      <w:rPr>
                        <w:noProof/>
                      </w:rPr>
                    </w:pPr>
                    <w:r>
                      <w:rPr>
                        <w:noProof/>
                      </w:rPr>
                      <w:t xml:space="preserve">Ball, J. (2011), </w:t>
                    </w:r>
                    <w:r>
                      <w:rPr>
                        <w:i/>
                        <w:iCs/>
                        <w:noProof/>
                      </w:rPr>
                      <w:t>Enhancing learning of children from diverse language backgrounds: Mother-tongue based bilingual or multilingual education in the early years</w:t>
                    </w:r>
                    <w:r>
                      <w:rPr>
                        <w:noProof/>
                      </w:rPr>
                      <w:t xml:space="preserve">, UNESCO, Paris, </w:t>
                    </w:r>
                    <w:r>
                      <w:rPr>
                        <w:noProof/>
                        <w:color w:val="0000FF"/>
                        <w:u w:val="single"/>
                      </w:rPr>
                      <w:t>https://unesdoc.unesco.org/ark:/48223/pf0000212270</w:t>
                    </w:r>
                    <w:r>
                      <w:rPr>
                        <w:noProof/>
                      </w:rPr>
                      <w:t xml:space="preserve"> (accessed on 4 October 2021).</w:t>
                    </w:r>
                  </w:p>
                </w:tc>
                <w:tc>
                  <w:tcPr>
                    <w:tcW w:w="600" w:type="dxa"/>
                    <w:noWrap/>
                    <w:hideMark/>
                  </w:tcPr>
                  <w:p w14:paraId="7621C51B" w14:textId="77777777" w:rsidR="00307F9E" w:rsidRDefault="00307F9E">
                    <w:pPr>
                      <w:spacing w:before="100" w:beforeAutospacing="1" w:after="100" w:afterAutospacing="1"/>
                      <w:jc w:val="right"/>
                      <w:rPr>
                        <w:noProof/>
                      </w:rPr>
                    </w:pPr>
                    <w:r>
                      <w:rPr>
                        <w:noProof/>
                        <w:color w:val="000000"/>
                        <w:sz w:val="16"/>
                        <w:szCs w:val="16"/>
                      </w:rPr>
                      <w:t>[122]</w:t>
                    </w:r>
                  </w:p>
                </w:tc>
              </w:tr>
              <w:tr w:rsidR="00307F9E" w14:paraId="1C1B4911" w14:textId="77777777">
                <w:trPr>
                  <w:divId w:val="465852184"/>
                </w:trPr>
                <w:tc>
                  <w:tcPr>
                    <w:tcW w:w="0" w:type="auto"/>
                    <w:hideMark/>
                  </w:tcPr>
                  <w:p w14:paraId="1F914992" w14:textId="77777777" w:rsidR="00307F9E" w:rsidRDefault="00307F9E">
                    <w:pPr>
                      <w:pStyle w:val="Bibliography"/>
                      <w:rPr>
                        <w:noProof/>
                      </w:rPr>
                    </w:pPr>
                    <w:r>
                      <w:rPr>
                        <w:noProof/>
                      </w:rPr>
                      <w:t xml:space="preserve">Bani, E. (1979), </w:t>
                    </w:r>
                    <w:r>
                      <w:rPr>
                        <w:i/>
                        <w:iCs/>
                        <w:noProof/>
                      </w:rPr>
                      <w:t>Importance of Torres Strait Islander Singing and Dancing</w:t>
                    </w:r>
                    <w:r>
                      <w:rPr>
                        <w:noProof/>
                      </w:rPr>
                      <w:t>, Canberra.</w:t>
                    </w:r>
                  </w:p>
                </w:tc>
                <w:tc>
                  <w:tcPr>
                    <w:tcW w:w="600" w:type="dxa"/>
                    <w:noWrap/>
                    <w:hideMark/>
                  </w:tcPr>
                  <w:p w14:paraId="23C01CBD" w14:textId="77777777" w:rsidR="00307F9E" w:rsidRDefault="00307F9E">
                    <w:pPr>
                      <w:spacing w:before="100" w:beforeAutospacing="1" w:after="100" w:afterAutospacing="1"/>
                      <w:jc w:val="right"/>
                      <w:rPr>
                        <w:noProof/>
                      </w:rPr>
                    </w:pPr>
                    <w:r>
                      <w:rPr>
                        <w:noProof/>
                        <w:color w:val="000000"/>
                        <w:sz w:val="16"/>
                        <w:szCs w:val="16"/>
                      </w:rPr>
                      <w:t>[33]</w:t>
                    </w:r>
                  </w:p>
                </w:tc>
              </w:tr>
              <w:tr w:rsidR="00307F9E" w14:paraId="09F16C55" w14:textId="77777777">
                <w:trPr>
                  <w:divId w:val="465852184"/>
                </w:trPr>
                <w:tc>
                  <w:tcPr>
                    <w:tcW w:w="0" w:type="auto"/>
                    <w:hideMark/>
                  </w:tcPr>
                  <w:p w14:paraId="5DCED2D0" w14:textId="77777777" w:rsidR="00307F9E" w:rsidRDefault="00307F9E">
                    <w:pPr>
                      <w:pStyle w:val="Bibliography"/>
                      <w:rPr>
                        <w:noProof/>
                      </w:rPr>
                    </w:pPr>
                    <w:r>
                      <w:rPr>
                        <w:noProof/>
                      </w:rPr>
                      <w:t xml:space="preserve">Bender, P. et al (2005), “In their own language...Education for all”, </w:t>
                    </w:r>
                    <w:r>
                      <w:rPr>
                        <w:i/>
                        <w:iCs/>
                        <w:noProof/>
                      </w:rPr>
                      <w:t>World Bank Education Notes</w:t>
                    </w:r>
                    <w:r>
                      <w:rPr>
                        <w:noProof/>
                      </w:rPr>
                      <w:t xml:space="preserve">, </w:t>
                    </w:r>
                    <w:r>
                      <w:rPr>
                        <w:noProof/>
                        <w:color w:val="0000FF"/>
                        <w:u w:val="single"/>
                      </w:rPr>
                      <w:t>http://documents.worldbank.org/curated/en/374241468763515925/pdf/389060Language00of1Instruct01PUBLIC1.pdf</w:t>
                    </w:r>
                    <w:r>
                      <w:rPr>
                        <w:noProof/>
                      </w:rPr>
                      <w:t xml:space="preserve"> (accessed on 4 102 2021).</w:t>
                    </w:r>
                  </w:p>
                </w:tc>
                <w:tc>
                  <w:tcPr>
                    <w:tcW w:w="600" w:type="dxa"/>
                    <w:noWrap/>
                    <w:hideMark/>
                  </w:tcPr>
                  <w:p w14:paraId="627A53E5" w14:textId="77777777" w:rsidR="00307F9E" w:rsidRDefault="00307F9E">
                    <w:pPr>
                      <w:spacing w:before="100" w:beforeAutospacing="1" w:after="100" w:afterAutospacing="1"/>
                      <w:jc w:val="right"/>
                      <w:rPr>
                        <w:noProof/>
                      </w:rPr>
                    </w:pPr>
                    <w:r>
                      <w:rPr>
                        <w:noProof/>
                        <w:color w:val="000000"/>
                        <w:sz w:val="16"/>
                        <w:szCs w:val="16"/>
                      </w:rPr>
                      <w:t>[114]</w:t>
                    </w:r>
                  </w:p>
                </w:tc>
              </w:tr>
              <w:tr w:rsidR="00307F9E" w14:paraId="12340CEE" w14:textId="77777777">
                <w:trPr>
                  <w:divId w:val="465852184"/>
                </w:trPr>
                <w:tc>
                  <w:tcPr>
                    <w:tcW w:w="0" w:type="auto"/>
                    <w:hideMark/>
                  </w:tcPr>
                  <w:p w14:paraId="0DD5C130" w14:textId="77777777" w:rsidR="00307F9E" w:rsidRDefault="00307F9E">
                    <w:pPr>
                      <w:pStyle w:val="Bibliography"/>
                      <w:rPr>
                        <w:noProof/>
                      </w:rPr>
                    </w:pPr>
                    <w:r>
                      <w:rPr>
                        <w:noProof/>
                      </w:rPr>
                      <w:t xml:space="preserve">Benson, C. (2016), </w:t>
                    </w:r>
                    <w:r>
                      <w:rPr>
                        <w:i/>
                        <w:iCs/>
                        <w:noProof/>
                      </w:rPr>
                      <w:t>Addressing language of instruction issues in education: Recommendations for documenting progress. Background paper prepared for the 2016 Global Education Monitoring Report: Education for people and planet: Creating sustainable futures for all</w:t>
                    </w:r>
                    <w:r>
                      <w:rPr>
                        <w:noProof/>
                      </w:rPr>
                      <w:t xml:space="preserve">, UNESCO, Paris, </w:t>
                    </w:r>
                    <w:r>
                      <w:rPr>
                        <w:noProof/>
                        <w:color w:val="0000FF"/>
                        <w:u w:val="single"/>
                      </w:rPr>
                      <w:t>https://gcedclearinghouse.org/sites/default/files/resources/245575e.pdf</w:t>
                    </w:r>
                    <w:r>
                      <w:rPr>
                        <w:noProof/>
                      </w:rPr>
                      <w:t xml:space="preserve"> (accessed on 4 October 2021).</w:t>
                    </w:r>
                  </w:p>
                </w:tc>
                <w:tc>
                  <w:tcPr>
                    <w:tcW w:w="600" w:type="dxa"/>
                    <w:noWrap/>
                    <w:hideMark/>
                  </w:tcPr>
                  <w:p w14:paraId="5C610CC7" w14:textId="77777777" w:rsidR="00307F9E" w:rsidRDefault="00307F9E">
                    <w:pPr>
                      <w:spacing w:before="100" w:beforeAutospacing="1" w:after="100" w:afterAutospacing="1"/>
                      <w:jc w:val="right"/>
                      <w:rPr>
                        <w:noProof/>
                      </w:rPr>
                    </w:pPr>
                    <w:r>
                      <w:rPr>
                        <w:noProof/>
                        <w:color w:val="000000"/>
                        <w:sz w:val="16"/>
                        <w:szCs w:val="16"/>
                      </w:rPr>
                      <w:t>[121]</w:t>
                    </w:r>
                  </w:p>
                </w:tc>
              </w:tr>
              <w:tr w:rsidR="00307F9E" w14:paraId="76A60150" w14:textId="77777777">
                <w:trPr>
                  <w:divId w:val="465852184"/>
                </w:trPr>
                <w:tc>
                  <w:tcPr>
                    <w:tcW w:w="0" w:type="auto"/>
                    <w:hideMark/>
                  </w:tcPr>
                  <w:p w14:paraId="71E0C9BE" w14:textId="77777777" w:rsidR="00307F9E" w:rsidRDefault="00307F9E">
                    <w:pPr>
                      <w:pStyle w:val="Bibliography"/>
                      <w:rPr>
                        <w:noProof/>
                      </w:rPr>
                    </w:pPr>
                    <w:r>
                      <w:rPr>
                        <w:noProof/>
                      </w:rPr>
                      <w:t xml:space="preserve">Benson, C. (2005), </w:t>
                    </w:r>
                    <w:r>
                      <w:rPr>
                        <w:i/>
                        <w:iCs/>
                        <w:noProof/>
                      </w:rPr>
                      <w:t>The importance of mother tongue-based schooling for educational quality. Background paper prepared for the Education for All Global Monitoring Report 2005. The Quality Imperative</w:t>
                    </w:r>
                    <w:r>
                      <w:rPr>
                        <w:noProof/>
                      </w:rPr>
                      <w:t xml:space="preserve">, UNESCO, Paris, </w:t>
                    </w:r>
                    <w:r>
                      <w:rPr>
                        <w:noProof/>
                        <w:color w:val="0000FF"/>
                        <w:u w:val="single"/>
                      </w:rPr>
                      <w:t>https://unesdoc.unesco.org/ark:/48223/pf0000146632</w:t>
                    </w:r>
                    <w:r>
                      <w:rPr>
                        <w:noProof/>
                      </w:rPr>
                      <w:t xml:space="preserve"> (accessed on 4 October 2021).</w:t>
                    </w:r>
                  </w:p>
                </w:tc>
                <w:tc>
                  <w:tcPr>
                    <w:tcW w:w="600" w:type="dxa"/>
                    <w:noWrap/>
                    <w:hideMark/>
                  </w:tcPr>
                  <w:p w14:paraId="57A88292" w14:textId="77777777" w:rsidR="00307F9E" w:rsidRDefault="00307F9E">
                    <w:pPr>
                      <w:spacing w:before="100" w:beforeAutospacing="1" w:after="100" w:afterAutospacing="1"/>
                      <w:jc w:val="right"/>
                      <w:rPr>
                        <w:noProof/>
                      </w:rPr>
                    </w:pPr>
                    <w:r>
                      <w:rPr>
                        <w:noProof/>
                        <w:color w:val="000000"/>
                        <w:sz w:val="16"/>
                        <w:szCs w:val="16"/>
                      </w:rPr>
                      <w:t>[123]</w:t>
                    </w:r>
                  </w:p>
                </w:tc>
              </w:tr>
              <w:tr w:rsidR="00307F9E" w14:paraId="53A9CDA7" w14:textId="77777777">
                <w:trPr>
                  <w:divId w:val="465852184"/>
                </w:trPr>
                <w:tc>
                  <w:tcPr>
                    <w:tcW w:w="0" w:type="auto"/>
                    <w:hideMark/>
                  </w:tcPr>
                  <w:p w14:paraId="598D57F1" w14:textId="77777777" w:rsidR="00307F9E" w:rsidRDefault="00307F9E">
                    <w:pPr>
                      <w:pStyle w:val="Bibliography"/>
                      <w:rPr>
                        <w:noProof/>
                      </w:rPr>
                    </w:pPr>
                    <w:r>
                      <w:rPr>
                        <w:noProof/>
                      </w:rPr>
                      <w:t xml:space="preserve">Benton, R. (1991), “Māori English: a New Zealand myth?”, in Cheshire, J. (ed.), </w:t>
                    </w:r>
                    <w:r>
                      <w:rPr>
                        <w:i/>
                        <w:iCs/>
                        <w:noProof/>
                      </w:rPr>
                      <w:t>English around the world: Sociolinguistic perspectives</w:t>
                    </w:r>
                    <w:r>
                      <w:rPr>
                        <w:noProof/>
                      </w:rPr>
                      <w:t>, Cambridge University Press, Cambridge.</w:t>
                    </w:r>
                  </w:p>
                </w:tc>
                <w:tc>
                  <w:tcPr>
                    <w:tcW w:w="600" w:type="dxa"/>
                    <w:noWrap/>
                    <w:hideMark/>
                  </w:tcPr>
                  <w:p w14:paraId="1E739863" w14:textId="77777777" w:rsidR="00307F9E" w:rsidRDefault="00307F9E">
                    <w:pPr>
                      <w:spacing w:before="100" w:beforeAutospacing="1" w:after="100" w:afterAutospacing="1"/>
                      <w:jc w:val="right"/>
                      <w:rPr>
                        <w:noProof/>
                      </w:rPr>
                    </w:pPr>
                    <w:r>
                      <w:rPr>
                        <w:noProof/>
                        <w:color w:val="000000"/>
                        <w:sz w:val="16"/>
                        <w:szCs w:val="16"/>
                      </w:rPr>
                      <w:t>[178]</w:t>
                    </w:r>
                  </w:p>
                </w:tc>
              </w:tr>
              <w:tr w:rsidR="00307F9E" w14:paraId="6D585BDB" w14:textId="77777777">
                <w:trPr>
                  <w:divId w:val="465852184"/>
                </w:trPr>
                <w:tc>
                  <w:tcPr>
                    <w:tcW w:w="0" w:type="auto"/>
                    <w:hideMark/>
                  </w:tcPr>
                  <w:p w14:paraId="344368A5" w14:textId="77777777" w:rsidR="00307F9E" w:rsidRDefault="00307F9E">
                    <w:pPr>
                      <w:pStyle w:val="Bibliography"/>
                      <w:rPr>
                        <w:noProof/>
                      </w:rPr>
                    </w:pPr>
                    <w:r>
                      <w:rPr>
                        <w:noProof/>
                      </w:rPr>
                      <w:t xml:space="preserve">Board of Studies, New South Wales (2015), </w:t>
                    </w:r>
                    <w:r>
                      <w:rPr>
                        <w:i/>
                        <w:iCs/>
                        <w:noProof/>
                      </w:rPr>
                      <w:t>Aboriginal Languages Stage 6 Content Endorsed Course Syllabus</w:t>
                    </w:r>
                    <w:r>
                      <w:rPr>
                        <w:noProof/>
                      </w:rPr>
                      <w:t>, Board of Studies, New South Wales, Sydney.</w:t>
                    </w:r>
                  </w:p>
                </w:tc>
                <w:tc>
                  <w:tcPr>
                    <w:tcW w:w="600" w:type="dxa"/>
                    <w:noWrap/>
                    <w:hideMark/>
                  </w:tcPr>
                  <w:p w14:paraId="191247C7" w14:textId="77777777" w:rsidR="00307F9E" w:rsidRDefault="00307F9E">
                    <w:pPr>
                      <w:spacing w:before="100" w:beforeAutospacing="1" w:after="100" w:afterAutospacing="1"/>
                      <w:jc w:val="right"/>
                      <w:rPr>
                        <w:noProof/>
                      </w:rPr>
                    </w:pPr>
                    <w:r>
                      <w:rPr>
                        <w:noProof/>
                        <w:color w:val="000000"/>
                        <w:sz w:val="16"/>
                        <w:szCs w:val="16"/>
                      </w:rPr>
                      <w:t>[74]</w:t>
                    </w:r>
                  </w:p>
                </w:tc>
              </w:tr>
              <w:tr w:rsidR="00307F9E" w14:paraId="2E83D546" w14:textId="77777777">
                <w:trPr>
                  <w:divId w:val="465852184"/>
                </w:trPr>
                <w:tc>
                  <w:tcPr>
                    <w:tcW w:w="0" w:type="auto"/>
                    <w:hideMark/>
                  </w:tcPr>
                  <w:p w14:paraId="71C8D418" w14:textId="77777777" w:rsidR="00307F9E" w:rsidRDefault="00307F9E">
                    <w:pPr>
                      <w:pStyle w:val="Bibliography"/>
                      <w:rPr>
                        <w:noProof/>
                      </w:rPr>
                    </w:pPr>
                    <w:r>
                      <w:rPr>
                        <w:noProof/>
                      </w:rPr>
                      <w:t xml:space="preserve">Board of Studies, New South Wales (2003), </w:t>
                    </w:r>
                    <w:r>
                      <w:rPr>
                        <w:i/>
                        <w:iCs/>
                        <w:noProof/>
                      </w:rPr>
                      <w:t>Aboriginal Languages K–10 Syllabus</w:t>
                    </w:r>
                    <w:r>
                      <w:rPr>
                        <w:noProof/>
                      </w:rPr>
                      <w:t>, Board of Studies, New South Wales, Sydney.</w:t>
                    </w:r>
                  </w:p>
                </w:tc>
                <w:tc>
                  <w:tcPr>
                    <w:tcW w:w="600" w:type="dxa"/>
                    <w:noWrap/>
                    <w:hideMark/>
                  </w:tcPr>
                  <w:p w14:paraId="407DA085" w14:textId="77777777" w:rsidR="00307F9E" w:rsidRDefault="00307F9E">
                    <w:pPr>
                      <w:spacing w:before="100" w:beforeAutospacing="1" w:after="100" w:afterAutospacing="1"/>
                      <w:jc w:val="right"/>
                      <w:rPr>
                        <w:noProof/>
                      </w:rPr>
                    </w:pPr>
                    <w:r>
                      <w:rPr>
                        <w:noProof/>
                        <w:color w:val="000000"/>
                        <w:sz w:val="16"/>
                        <w:szCs w:val="16"/>
                      </w:rPr>
                      <w:t>[217]</w:t>
                    </w:r>
                  </w:p>
                </w:tc>
              </w:tr>
              <w:tr w:rsidR="00307F9E" w14:paraId="45F91149" w14:textId="77777777">
                <w:trPr>
                  <w:divId w:val="465852184"/>
                </w:trPr>
                <w:tc>
                  <w:tcPr>
                    <w:tcW w:w="0" w:type="auto"/>
                    <w:hideMark/>
                  </w:tcPr>
                  <w:p w14:paraId="1299B8CC" w14:textId="77777777" w:rsidR="00307F9E" w:rsidRDefault="00307F9E">
                    <w:pPr>
                      <w:pStyle w:val="Bibliography"/>
                      <w:rPr>
                        <w:noProof/>
                      </w:rPr>
                    </w:pPr>
                    <w:r>
                      <w:rPr>
                        <w:noProof/>
                      </w:rPr>
                      <w:t xml:space="preserve">Bobongie, F. (2017), “Ngoelmun Yawar, Our Journey: The Transition and the Challenges for Female Students Leaving Torres Strait Island Communities for Boarding Schools in Regional Queensland”, </w:t>
                    </w:r>
                    <w:r>
                      <w:rPr>
                        <w:i/>
                        <w:iCs/>
                        <w:noProof/>
                      </w:rPr>
                      <w:t>The Australian Journal of Indigenous Education</w:t>
                    </w:r>
                    <w:r>
                      <w:rPr>
                        <w:noProof/>
                      </w:rPr>
                      <w:t>, Vol. 46/2, pp. 127-136.</w:t>
                    </w:r>
                  </w:p>
                </w:tc>
                <w:tc>
                  <w:tcPr>
                    <w:tcW w:w="600" w:type="dxa"/>
                    <w:noWrap/>
                    <w:hideMark/>
                  </w:tcPr>
                  <w:p w14:paraId="2E531FD6" w14:textId="77777777" w:rsidR="00307F9E" w:rsidRDefault="00307F9E">
                    <w:pPr>
                      <w:spacing w:before="100" w:beforeAutospacing="1" w:after="100" w:afterAutospacing="1"/>
                      <w:jc w:val="right"/>
                      <w:rPr>
                        <w:noProof/>
                      </w:rPr>
                    </w:pPr>
                    <w:r>
                      <w:rPr>
                        <w:noProof/>
                        <w:color w:val="000000"/>
                        <w:sz w:val="16"/>
                        <w:szCs w:val="16"/>
                      </w:rPr>
                      <w:t>[130]</w:t>
                    </w:r>
                  </w:p>
                </w:tc>
              </w:tr>
              <w:tr w:rsidR="00307F9E" w14:paraId="37B00D61" w14:textId="77777777">
                <w:trPr>
                  <w:divId w:val="465852184"/>
                </w:trPr>
                <w:tc>
                  <w:tcPr>
                    <w:tcW w:w="0" w:type="auto"/>
                    <w:hideMark/>
                  </w:tcPr>
                  <w:p w14:paraId="7F18EE5D" w14:textId="77777777" w:rsidR="00307F9E" w:rsidRDefault="00307F9E">
                    <w:pPr>
                      <w:pStyle w:val="Bibliography"/>
                      <w:rPr>
                        <w:noProof/>
                      </w:rPr>
                    </w:pPr>
                    <w:r>
                      <w:rPr>
                        <w:noProof/>
                      </w:rPr>
                      <w:t xml:space="preserve">Bow, C. (2016), “Using authentic language resources to incorporate Indigenous knowledges across the Australian Curriculum”, </w:t>
                    </w:r>
                    <w:r>
                      <w:rPr>
                        <w:i/>
                        <w:iCs/>
                        <w:noProof/>
                      </w:rPr>
                      <w:t>Learning Communities: International Journal of Learning in Social Contexts (Special Issue: New Connections in Education Research)</w:t>
                    </w:r>
                    <w:r>
                      <w:rPr>
                        <w:noProof/>
                      </w:rPr>
                      <w:t xml:space="preserve">, Vol. 20, pp. 20-39, </w:t>
                    </w:r>
                    <w:r>
                      <w:rPr>
                        <w:noProof/>
                        <w:color w:val="0000FF"/>
                        <w:u w:val="single"/>
                      </w:rPr>
                      <w:t>http://dx.doi.org/10.18793/lcj2016.20.03</w:t>
                    </w:r>
                    <w:r>
                      <w:rPr>
                        <w:noProof/>
                      </w:rPr>
                      <w:t>.</w:t>
                    </w:r>
                  </w:p>
                </w:tc>
                <w:tc>
                  <w:tcPr>
                    <w:tcW w:w="600" w:type="dxa"/>
                    <w:noWrap/>
                    <w:hideMark/>
                  </w:tcPr>
                  <w:p w14:paraId="7A7D659C" w14:textId="77777777" w:rsidR="00307F9E" w:rsidRDefault="00307F9E">
                    <w:pPr>
                      <w:spacing w:before="100" w:beforeAutospacing="1" w:after="100" w:afterAutospacing="1"/>
                      <w:jc w:val="right"/>
                      <w:rPr>
                        <w:noProof/>
                      </w:rPr>
                    </w:pPr>
                    <w:r>
                      <w:rPr>
                        <w:noProof/>
                        <w:color w:val="000000"/>
                        <w:sz w:val="16"/>
                        <w:szCs w:val="16"/>
                      </w:rPr>
                      <w:t>[211]</w:t>
                    </w:r>
                  </w:p>
                </w:tc>
              </w:tr>
              <w:tr w:rsidR="00307F9E" w14:paraId="5E9832D9" w14:textId="77777777">
                <w:trPr>
                  <w:divId w:val="465852184"/>
                </w:trPr>
                <w:tc>
                  <w:tcPr>
                    <w:tcW w:w="0" w:type="auto"/>
                    <w:hideMark/>
                  </w:tcPr>
                  <w:p w14:paraId="77FE17E1" w14:textId="77777777" w:rsidR="00307F9E" w:rsidRDefault="00307F9E">
                    <w:pPr>
                      <w:pStyle w:val="Bibliography"/>
                      <w:rPr>
                        <w:noProof/>
                      </w:rPr>
                    </w:pPr>
                    <w:r>
                      <w:rPr>
                        <w:noProof/>
                      </w:rPr>
                      <w:t xml:space="preserve">Bow, C., M. Christie and B. Devlin (2017), “Digital Futures for Bilingual Books”, in Devlin, B., S. Disbray and N. Devlin (eds.), </w:t>
                    </w:r>
                    <w:r>
                      <w:rPr>
                        <w:i/>
                        <w:iCs/>
                        <w:noProof/>
                      </w:rPr>
                      <w:t>History of Bilingual Education in the Northern Territory: People, Programs and Policies</w:t>
                    </w:r>
                    <w:r>
                      <w:rPr>
                        <w:noProof/>
                      </w:rPr>
                      <w:t>, Springer, Singapore.</w:t>
                    </w:r>
                  </w:p>
                </w:tc>
                <w:tc>
                  <w:tcPr>
                    <w:tcW w:w="600" w:type="dxa"/>
                    <w:noWrap/>
                    <w:hideMark/>
                  </w:tcPr>
                  <w:p w14:paraId="69E7042D" w14:textId="77777777" w:rsidR="00307F9E" w:rsidRDefault="00307F9E">
                    <w:pPr>
                      <w:spacing w:before="100" w:beforeAutospacing="1" w:after="100" w:afterAutospacing="1"/>
                      <w:jc w:val="right"/>
                      <w:rPr>
                        <w:noProof/>
                      </w:rPr>
                    </w:pPr>
                    <w:r>
                      <w:rPr>
                        <w:noProof/>
                        <w:color w:val="000000"/>
                        <w:sz w:val="16"/>
                        <w:szCs w:val="16"/>
                      </w:rPr>
                      <w:t>[213]</w:t>
                    </w:r>
                  </w:p>
                </w:tc>
              </w:tr>
              <w:tr w:rsidR="00307F9E" w14:paraId="6A0CA12A" w14:textId="77777777">
                <w:trPr>
                  <w:divId w:val="465852184"/>
                </w:trPr>
                <w:tc>
                  <w:tcPr>
                    <w:tcW w:w="0" w:type="auto"/>
                    <w:hideMark/>
                  </w:tcPr>
                  <w:p w14:paraId="0FE39C61" w14:textId="77777777" w:rsidR="00307F9E" w:rsidRDefault="00307F9E">
                    <w:pPr>
                      <w:pStyle w:val="Bibliography"/>
                      <w:rPr>
                        <w:noProof/>
                      </w:rPr>
                    </w:pPr>
                    <w:r>
                      <w:rPr>
                        <w:noProof/>
                      </w:rPr>
                      <w:lastRenderedPageBreak/>
                      <w:t xml:space="preserve">Bow, C., M. Christie and B. Devlin (2014), “Developing a living archive of Aboriginal languages”, </w:t>
                    </w:r>
                    <w:r>
                      <w:rPr>
                        <w:i/>
                        <w:iCs/>
                        <w:noProof/>
                      </w:rPr>
                      <w:t>Language Documentation and Conservation</w:t>
                    </w:r>
                    <w:r>
                      <w:rPr>
                        <w:noProof/>
                      </w:rPr>
                      <w:t xml:space="preserve">, Vol. 8, pp. 347-353, </w:t>
                    </w:r>
                    <w:r>
                      <w:rPr>
                        <w:noProof/>
                        <w:color w:val="0000FF"/>
                        <w:u w:val="single"/>
                      </w:rPr>
                      <w:t>http://hdl.handle.net/10125/24612</w:t>
                    </w:r>
                    <w:r>
                      <w:rPr>
                        <w:noProof/>
                      </w:rPr>
                      <w:t xml:space="preserve"> (accessed on 4 October 2021).</w:t>
                    </w:r>
                  </w:p>
                </w:tc>
                <w:tc>
                  <w:tcPr>
                    <w:tcW w:w="600" w:type="dxa"/>
                    <w:noWrap/>
                    <w:hideMark/>
                  </w:tcPr>
                  <w:p w14:paraId="29F2FE25" w14:textId="77777777" w:rsidR="00307F9E" w:rsidRDefault="00307F9E">
                    <w:pPr>
                      <w:spacing w:before="100" w:beforeAutospacing="1" w:after="100" w:afterAutospacing="1"/>
                      <w:jc w:val="right"/>
                      <w:rPr>
                        <w:noProof/>
                      </w:rPr>
                    </w:pPr>
                    <w:r>
                      <w:rPr>
                        <w:noProof/>
                        <w:color w:val="000000"/>
                        <w:sz w:val="16"/>
                        <w:szCs w:val="16"/>
                      </w:rPr>
                      <w:t>[212]</w:t>
                    </w:r>
                  </w:p>
                </w:tc>
              </w:tr>
              <w:tr w:rsidR="00307F9E" w14:paraId="1D5688A3" w14:textId="77777777">
                <w:trPr>
                  <w:divId w:val="465852184"/>
                </w:trPr>
                <w:tc>
                  <w:tcPr>
                    <w:tcW w:w="0" w:type="auto"/>
                    <w:hideMark/>
                  </w:tcPr>
                  <w:p w14:paraId="018FAC4B" w14:textId="77777777" w:rsidR="00307F9E" w:rsidRDefault="00307F9E">
                    <w:pPr>
                      <w:pStyle w:val="Bibliography"/>
                      <w:rPr>
                        <w:noProof/>
                      </w:rPr>
                    </w:pPr>
                    <w:r>
                      <w:rPr>
                        <w:noProof/>
                      </w:rPr>
                      <w:t xml:space="preserve">Bowman, C., L. Pascoe and T. Joy (1999), “Literacy Teaching and Learning in a Bilingual Classroom”, in Wignall, P. (ed.), </w:t>
                    </w:r>
                    <w:r>
                      <w:rPr>
                        <w:i/>
                        <w:iCs/>
                        <w:noProof/>
                      </w:rPr>
                      <w:t>Double Power: English literacy and Indigenous Education</w:t>
                    </w:r>
                    <w:r>
                      <w:rPr>
                        <w:noProof/>
                      </w:rPr>
                      <w:t>, Language Australia, Melbourne.</w:t>
                    </w:r>
                  </w:p>
                </w:tc>
                <w:tc>
                  <w:tcPr>
                    <w:tcW w:w="600" w:type="dxa"/>
                    <w:noWrap/>
                    <w:hideMark/>
                  </w:tcPr>
                  <w:p w14:paraId="7FD15929" w14:textId="77777777" w:rsidR="00307F9E" w:rsidRDefault="00307F9E">
                    <w:pPr>
                      <w:spacing w:before="100" w:beforeAutospacing="1" w:after="100" w:afterAutospacing="1"/>
                      <w:jc w:val="right"/>
                      <w:rPr>
                        <w:noProof/>
                      </w:rPr>
                    </w:pPr>
                    <w:r>
                      <w:rPr>
                        <w:noProof/>
                        <w:color w:val="000000"/>
                        <w:sz w:val="16"/>
                        <w:szCs w:val="16"/>
                      </w:rPr>
                      <w:t>[172]</w:t>
                    </w:r>
                  </w:p>
                </w:tc>
              </w:tr>
              <w:tr w:rsidR="00307F9E" w14:paraId="0B530A7B" w14:textId="77777777">
                <w:trPr>
                  <w:divId w:val="465852184"/>
                </w:trPr>
                <w:tc>
                  <w:tcPr>
                    <w:tcW w:w="0" w:type="auto"/>
                    <w:hideMark/>
                  </w:tcPr>
                  <w:p w14:paraId="1BC49548" w14:textId="77777777" w:rsidR="00307F9E" w:rsidRDefault="00307F9E">
                    <w:pPr>
                      <w:pStyle w:val="Bibliography"/>
                      <w:rPr>
                        <w:noProof/>
                      </w:rPr>
                    </w:pPr>
                    <w:r>
                      <w:rPr>
                        <w:noProof/>
                      </w:rPr>
                      <w:t xml:space="preserve">Bracknell, C. (2017), “Maaya Waab (Playing with Sound): Nyungar Song Language and Spoken Language in the South-West of Western Australia”, in Wafer, J. and M. Turpin (eds.), </w:t>
                    </w:r>
                    <w:r>
                      <w:rPr>
                        <w:i/>
                        <w:iCs/>
                        <w:noProof/>
                      </w:rPr>
                      <w:t>Recirculating Songs: Revitalising the Singing Practices of Indigenous Australia</w:t>
                    </w:r>
                    <w:r>
                      <w:rPr>
                        <w:noProof/>
                      </w:rPr>
                      <w:t>, Asia-Pacific Linguistics, Canberra.</w:t>
                    </w:r>
                  </w:p>
                </w:tc>
                <w:tc>
                  <w:tcPr>
                    <w:tcW w:w="600" w:type="dxa"/>
                    <w:noWrap/>
                    <w:hideMark/>
                  </w:tcPr>
                  <w:p w14:paraId="5F9FAA3F" w14:textId="77777777" w:rsidR="00307F9E" w:rsidRDefault="00307F9E">
                    <w:pPr>
                      <w:spacing w:before="100" w:beforeAutospacing="1" w:after="100" w:afterAutospacing="1"/>
                      <w:jc w:val="right"/>
                      <w:rPr>
                        <w:noProof/>
                      </w:rPr>
                    </w:pPr>
                    <w:r>
                      <w:rPr>
                        <w:noProof/>
                        <w:color w:val="000000"/>
                        <w:sz w:val="16"/>
                        <w:szCs w:val="16"/>
                      </w:rPr>
                      <w:t>[30]</w:t>
                    </w:r>
                  </w:p>
                </w:tc>
              </w:tr>
              <w:tr w:rsidR="00307F9E" w14:paraId="431A6526" w14:textId="77777777">
                <w:trPr>
                  <w:divId w:val="465852184"/>
                </w:trPr>
                <w:tc>
                  <w:tcPr>
                    <w:tcW w:w="0" w:type="auto"/>
                    <w:hideMark/>
                  </w:tcPr>
                  <w:p w14:paraId="0BC5D120" w14:textId="77777777" w:rsidR="00307F9E" w:rsidRDefault="00307F9E">
                    <w:pPr>
                      <w:pStyle w:val="Bibliography"/>
                      <w:rPr>
                        <w:noProof/>
                      </w:rPr>
                    </w:pPr>
                    <w:r>
                      <w:rPr>
                        <w:noProof/>
                      </w:rPr>
                      <w:t xml:space="preserve">Bracknell, C. (2017), “Maaya Waab (Playing with Sound): Nyungar Song Language and Spoken Language in the South-West of Western Australia”, in Wafer, J. and M. Turpin (eds.), </w:t>
                    </w:r>
                    <w:r>
                      <w:rPr>
                        <w:i/>
                        <w:iCs/>
                        <w:noProof/>
                      </w:rPr>
                      <w:t>Recirculating Songs: Revitalising the Singing Practices of Indigenous Australia</w:t>
                    </w:r>
                    <w:r>
                      <w:rPr>
                        <w:noProof/>
                      </w:rPr>
                      <w:t>, Asia-Pacific Linguistics, Canberra.</w:t>
                    </w:r>
                  </w:p>
                </w:tc>
                <w:tc>
                  <w:tcPr>
                    <w:tcW w:w="600" w:type="dxa"/>
                    <w:noWrap/>
                    <w:hideMark/>
                  </w:tcPr>
                  <w:p w14:paraId="3EF47432" w14:textId="77777777" w:rsidR="00307F9E" w:rsidRDefault="00307F9E">
                    <w:pPr>
                      <w:spacing w:before="100" w:beforeAutospacing="1" w:after="100" w:afterAutospacing="1"/>
                      <w:jc w:val="right"/>
                      <w:rPr>
                        <w:noProof/>
                      </w:rPr>
                    </w:pPr>
                    <w:r>
                      <w:rPr>
                        <w:noProof/>
                        <w:color w:val="000000"/>
                        <w:sz w:val="16"/>
                        <w:szCs w:val="16"/>
                      </w:rPr>
                      <w:t>[187]</w:t>
                    </w:r>
                  </w:p>
                </w:tc>
              </w:tr>
              <w:tr w:rsidR="00307F9E" w14:paraId="2979E1C7" w14:textId="77777777">
                <w:trPr>
                  <w:divId w:val="465852184"/>
                </w:trPr>
                <w:tc>
                  <w:tcPr>
                    <w:tcW w:w="0" w:type="auto"/>
                    <w:hideMark/>
                  </w:tcPr>
                  <w:p w14:paraId="66A74B7A" w14:textId="77777777" w:rsidR="00307F9E" w:rsidRDefault="00307F9E">
                    <w:pPr>
                      <w:pStyle w:val="Bibliography"/>
                      <w:rPr>
                        <w:noProof/>
                      </w:rPr>
                    </w:pPr>
                    <w:r>
                      <w:rPr>
                        <w:noProof/>
                      </w:rPr>
                      <w:t xml:space="preserve">Bühmann, D. and B. Trudell (2008), </w:t>
                    </w:r>
                    <w:r>
                      <w:rPr>
                        <w:i/>
                        <w:iCs/>
                        <w:noProof/>
                      </w:rPr>
                      <w:t>Mother tongue matters: Local language as a key to effective learning</w:t>
                    </w:r>
                    <w:r>
                      <w:rPr>
                        <w:noProof/>
                      </w:rPr>
                      <w:t xml:space="preserve">, UNESCO, Paris, </w:t>
                    </w:r>
                    <w:r>
                      <w:rPr>
                        <w:noProof/>
                        <w:color w:val="0000FF"/>
                        <w:u w:val="single"/>
                      </w:rPr>
                      <w:t>https://unesdoc.unesco.org/in/rest/annotationSVC/DownloadWatermarkedAttachment/attach_import_d3cd4d72-f0df-44d3-affa-2829904695f3?_=161121eng.pdf</w:t>
                    </w:r>
                    <w:r>
                      <w:rPr>
                        <w:noProof/>
                      </w:rPr>
                      <w:t xml:space="preserve"> (accessed on 4 October 2021).</w:t>
                    </w:r>
                  </w:p>
                </w:tc>
                <w:tc>
                  <w:tcPr>
                    <w:tcW w:w="600" w:type="dxa"/>
                    <w:noWrap/>
                    <w:hideMark/>
                  </w:tcPr>
                  <w:p w14:paraId="3B077E02" w14:textId="77777777" w:rsidR="00307F9E" w:rsidRDefault="00307F9E">
                    <w:pPr>
                      <w:spacing w:before="100" w:beforeAutospacing="1" w:after="100" w:afterAutospacing="1"/>
                      <w:jc w:val="right"/>
                      <w:rPr>
                        <w:noProof/>
                      </w:rPr>
                    </w:pPr>
                    <w:r>
                      <w:rPr>
                        <w:noProof/>
                        <w:color w:val="000000"/>
                        <w:sz w:val="16"/>
                        <w:szCs w:val="16"/>
                      </w:rPr>
                      <w:t>[113]</w:t>
                    </w:r>
                  </w:p>
                </w:tc>
              </w:tr>
              <w:tr w:rsidR="00307F9E" w14:paraId="52F6053C" w14:textId="77777777">
                <w:trPr>
                  <w:divId w:val="465852184"/>
                </w:trPr>
                <w:tc>
                  <w:tcPr>
                    <w:tcW w:w="0" w:type="auto"/>
                    <w:hideMark/>
                  </w:tcPr>
                  <w:p w14:paraId="43D75AF8" w14:textId="77777777" w:rsidR="00307F9E" w:rsidRDefault="00307F9E">
                    <w:pPr>
                      <w:pStyle w:val="Bibliography"/>
                      <w:rPr>
                        <w:noProof/>
                      </w:rPr>
                    </w:pPr>
                    <w:r>
                      <w:rPr>
                        <w:noProof/>
                      </w:rPr>
                      <w:t xml:space="preserve">Busch, B. (2012), “The linguistic repertoire revisited”, </w:t>
                    </w:r>
                    <w:r>
                      <w:rPr>
                        <w:i/>
                        <w:iCs/>
                        <w:noProof/>
                      </w:rPr>
                      <w:t>Applied Linguistics</w:t>
                    </w:r>
                    <w:r>
                      <w:rPr>
                        <w:noProof/>
                      </w:rPr>
                      <w:t>, Vol. 33, pp. 503-523.</w:t>
                    </w:r>
                  </w:p>
                </w:tc>
                <w:tc>
                  <w:tcPr>
                    <w:tcW w:w="600" w:type="dxa"/>
                    <w:noWrap/>
                    <w:hideMark/>
                  </w:tcPr>
                  <w:p w14:paraId="37C9C778" w14:textId="77777777" w:rsidR="00307F9E" w:rsidRDefault="00307F9E">
                    <w:pPr>
                      <w:spacing w:before="100" w:beforeAutospacing="1" w:after="100" w:afterAutospacing="1"/>
                      <w:jc w:val="right"/>
                      <w:rPr>
                        <w:noProof/>
                      </w:rPr>
                    </w:pPr>
                    <w:r>
                      <w:rPr>
                        <w:noProof/>
                        <w:color w:val="000000"/>
                        <w:sz w:val="16"/>
                        <w:szCs w:val="16"/>
                      </w:rPr>
                      <w:t>[158]</w:t>
                    </w:r>
                  </w:p>
                </w:tc>
              </w:tr>
              <w:tr w:rsidR="00307F9E" w14:paraId="0099DC2B" w14:textId="77777777">
                <w:trPr>
                  <w:divId w:val="465852184"/>
                </w:trPr>
                <w:tc>
                  <w:tcPr>
                    <w:tcW w:w="0" w:type="auto"/>
                    <w:hideMark/>
                  </w:tcPr>
                  <w:p w14:paraId="4333A2F1" w14:textId="77777777" w:rsidR="00307F9E" w:rsidRDefault="00307F9E">
                    <w:pPr>
                      <w:pStyle w:val="Bibliography"/>
                      <w:rPr>
                        <w:noProof/>
                      </w:rPr>
                    </w:pPr>
                    <w:r>
                      <w:rPr>
                        <w:noProof/>
                      </w:rPr>
                      <w:t xml:space="preserve">Carter, M., D. Angelo and C. Hudson (2019), “Translanguaging the curriculum: A critical language awareness curriculum for silenced Indigenous voices”, in Mickan, P. and I. Wallace (eds.), </w:t>
                    </w:r>
                    <w:r>
                      <w:rPr>
                        <w:i/>
                        <w:iCs/>
                        <w:noProof/>
                      </w:rPr>
                      <w:t>The Routledge Handbook of Language Education Curriculum Design</w:t>
                    </w:r>
                    <w:r>
                      <w:rPr>
                        <w:noProof/>
                      </w:rPr>
                      <w:t xml:space="preserve">, Routledge, New York, </w:t>
                    </w:r>
                    <w:r>
                      <w:rPr>
                        <w:noProof/>
                        <w:color w:val="0000FF"/>
                        <w:u w:val="single"/>
                      </w:rPr>
                      <w:t>http://dx.doi.org/10.4324/9781315661032</w:t>
                    </w:r>
                    <w:r>
                      <w:rPr>
                        <w:noProof/>
                      </w:rPr>
                      <w:t>.</w:t>
                    </w:r>
                  </w:p>
                </w:tc>
                <w:tc>
                  <w:tcPr>
                    <w:tcW w:w="600" w:type="dxa"/>
                    <w:noWrap/>
                    <w:hideMark/>
                  </w:tcPr>
                  <w:p w14:paraId="2EFED0B8" w14:textId="77777777" w:rsidR="00307F9E" w:rsidRDefault="00307F9E">
                    <w:pPr>
                      <w:spacing w:before="100" w:beforeAutospacing="1" w:after="100" w:afterAutospacing="1"/>
                      <w:jc w:val="right"/>
                      <w:rPr>
                        <w:noProof/>
                      </w:rPr>
                    </w:pPr>
                    <w:r>
                      <w:rPr>
                        <w:noProof/>
                        <w:color w:val="000000"/>
                        <w:sz w:val="16"/>
                        <w:szCs w:val="16"/>
                      </w:rPr>
                      <w:t>[133]</w:t>
                    </w:r>
                  </w:p>
                </w:tc>
              </w:tr>
              <w:tr w:rsidR="00307F9E" w14:paraId="0774F686" w14:textId="77777777">
                <w:trPr>
                  <w:divId w:val="465852184"/>
                </w:trPr>
                <w:tc>
                  <w:tcPr>
                    <w:tcW w:w="0" w:type="auto"/>
                    <w:hideMark/>
                  </w:tcPr>
                  <w:p w14:paraId="29A00F60" w14:textId="77777777" w:rsidR="00307F9E" w:rsidRDefault="00307F9E">
                    <w:pPr>
                      <w:pStyle w:val="Bibliography"/>
                      <w:rPr>
                        <w:noProof/>
                      </w:rPr>
                    </w:pPr>
                    <w:r>
                      <w:rPr>
                        <w:noProof/>
                      </w:rPr>
                      <w:t xml:space="preserve">Celaya, M., M. Torras and C. Vidal (2001), “Short and mid-term effects of an earlier start: An analysis of EFL written production”, in Foster-Cohen, S. and A. Nizegorodcew (eds.), </w:t>
                    </w:r>
                    <w:r>
                      <w:rPr>
                        <w:i/>
                        <w:iCs/>
                        <w:noProof/>
                      </w:rPr>
                      <w:t>EUROSLA yearbook 1</w:t>
                    </w:r>
                    <w:r>
                      <w:rPr>
                        <w:noProof/>
                      </w:rPr>
                      <w:t>, John Benjamins Publishing.</w:t>
                    </w:r>
                  </w:p>
                </w:tc>
                <w:tc>
                  <w:tcPr>
                    <w:tcW w:w="600" w:type="dxa"/>
                    <w:noWrap/>
                    <w:hideMark/>
                  </w:tcPr>
                  <w:p w14:paraId="7C7AA0BA" w14:textId="77777777" w:rsidR="00307F9E" w:rsidRDefault="00307F9E">
                    <w:pPr>
                      <w:spacing w:before="100" w:beforeAutospacing="1" w:after="100" w:afterAutospacing="1"/>
                      <w:jc w:val="right"/>
                      <w:rPr>
                        <w:noProof/>
                      </w:rPr>
                    </w:pPr>
                    <w:r>
                      <w:rPr>
                        <w:noProof/>
                        <w:color w:val="000000"/>
                        <w:sz w:val="16"/>
                        <w:szCs w:val="16"/>
                      </w:rPr>
                      <w:t>[152]</w:t>
                    </w:r>
                  </w:p>
                </w:tc>
              </w:tr>
              <w:tr w:rsidR="00307F9E" w14:paraId="5B4D6E5F" w14:textId="77777777">
                <w:trPr>
                  <w:divId w:val="465852184"/>
                </w:trPr>
                <w:tc>
                  <w:tcPr>
                    <w:tcW w:w="0" w:type="auto"/>
                    <w:hideMark/>
                  </w:tcPr>
                  <w:p w14:paraId="2D22209D" w14:textId="77777777" w:rsidR="00307F9E" w:rsidRDefault="00307F9E">
                    <w:pPr>
                      <w:pStyle w:val="Bibliography"/>
                      <w:rPr>
                        <w:noProof/>
                      </w:rPr>
                    </w:pPr>
                    <w:r>
                      <w:rPr>
                        <w:noProof/>
                      </w:rPr>
                      <w:t xml:space="preserve">Chambers, N. (2015), “Language nests as an emergent global phenomenon: Diverse approaches to program development and delivery”, </w:t>
                    </w:r>
                    <w:r>
                      <w:rPr>
                        <w:i/>
                        <w:iCs/>
                        <w:noProof/>
                      </w:rPr>
                      <w:t>The International Journal of Holistic Early Learning and Development</w:t>
                    </w:r>
                    <w:r>
                      <w:rPr>
                        <w:noProof/>
                      </w:rPr>
                      <w:t>, Vol. 1.</w:t>
                    </w:r>
                  </w:p>
                </w:tc>
                <w:tc>
                  <w:tcPr>
                    <w:tcW w:w="600" w:type="dxa"/>
                    <w:noWrap/>
                    <w:hideMark/>
                  </w:tcPr>
                  <w:p w14:paraId="1149E7C7" w14:textId="77777777" w:rsidR="00307F9E" w:rsidRDefault="00307F9E">
                    <w:pPr>
                      <w:spacing w:before="100" w:beforeAutospacing="1" w:after="100" w:afterAutospacing="1"/>
                      <w:jc w:val="right"/>
                      <w:rPr>
                        <w:noProof/>
                      </w:rPr>
                    </w:pPr>
                    <w:r>
                      <w:rPr>
                        <w:noProof/>
                        <w:color w:val="000000"/>
                        <w:sz w:val="16"/>
                        <w:szCs w:val="16"/>
                      </w:rPr>
                      <w:t>[183]</w:t>
                    </w:r>
                  </w:p>
                </w:tc>
              </w:tr>
              <w:tr w:rsidR="00307F9E" w14:paraId="639F50F5" w14:textId="77777777">
                <w:trPr>
                  <w:divId w:val="465852184"/>
                </w:trPr>
                <w:tc>
                  <w:tcPr>
                    <w:tcW w:w="0" w:type="auto"/>
                    <w:hideMark/>
                  </w:tcPr>
                  <w:p w14:paraId="44900B60" w14:textId="77777777" w:rsidR="00307F9E" w:rsidRDefault="00307F9E">
                    <w:pPr>
                      <w:pStyle w:val="Bibliography"/>
                      <w:rPr>
                        <w:noProof/>
                      </w:rPr>
                    </w:pPr>
                    <w:r>
                      <w:rPr>
                        <w:noProof/>
                      </w:rPr>
                      <w:t xml:space="preserve">Chandler, M. and C. Lalonde (1998), “Cultural continuity as a hedge against suicide in Canada’s First Nations”, </w:t>
                    </w:r>
                    <w:r>
                      <w:rPr>
                        <w:i/>
                        <w:iCs/>
                        <w:noProof/>
                      </w:rPr>
                      <w:t>Transcultural psychiatry</w:t>
                    </w:r>
                    <w:r>
                      <w:rPr>
                        <w:noProof/>
                      </w:rPr>
                      <w:t>, Vol. 35/2.</w:t>
                    </w:r>
                  </w:p>
                </w:tc>
                <w:tc>
                  <w:tcPr>
                    <w:tcW w:w="600" w:type="dxa"/>
                    <w:noWrap/>
                    <w:hideMark/>
                  </w:tcPr>
                  <w:p w14:paraId="65114C0C" w14:textId="77777777" w:rsidR="00307F9E" w:rsidRDefault="00307F9E">
                    <w:pPr>
                      <w:spacing w:before="100" w:beforeAutospacing="1" w:after="100" w:afterAutospacing="1"/>
                      <w:jc w:val="right"/>
                      <w:rPr>
                        <w:noProof/>
                      </w:rPr>
                    </w:pPr>
                    <w:r>
                      <w:rPr>
                        <w:noProof/>
                        <w:color w:val="000000"/>
                        <w:sz w:val="16"/>
                        <w:szCs w:val="16"/>
                      </w:rPr>
                      <w:t>[50]</w:t>
                    </w:r>
                  </w:p>
                </w:tc>
              </w:tr>
              <w:tr w:rsidR="00307F9E" w14:paraId="31C416B1" w14:textId="77777777">
                <w:trPr>
                  <w:divId w:val="465852184"/>
                </w:trPr>
                <w:tc>
                  <w:tcPr>
                    <w:tcW w:w="0" w:type="auto"/>
                    <w:hideMark/>
                  </w:tcPr>
                  <w:p w14:paraId="71F1B6B8" w14:textId="77777777" w:rsidR="00307F9E" w:rsidRDefault="00307F9E">
                    <w:pPr>
                      <w:pStyle w:val="Bibliography"/>
                      <w:rPr>
                        <w:noProof/>
                      </w:rPr>
                    </w:pPr>
                    <w:r>
                      <w:rPr>
                        <w:noProof/>
                      </w:rPr>
                      <w:t xml:space="preserve">Chief Atahm School (2020), , </w:t>
                    </w:r>
                    <w:r>
                      <w:rPr>
                        <w:noProof/>
                        <w:color w:val="0000FF"/>
                        <w:u w:val="single"/>
                      </w:rPr>
                      <w:t>http://www.chiefatahm.com/index.html</w:t>
                    </w:r>
                    <w:r>
                      <w:rPr>
                        <w:noProof/>
                      </w:rPr>
                      <w:t xml:space="preserve"> (accessed on 4 October 2021).</w:t>
                    </w:r>
                  </w:p>
                </w:tc>
                <w:tc>
                  <w:tcPr>
                    <w:tcW w:w="600" w:type="dxa"/>
                    <w:noWrap/>
                    <w:hideMark/>
                  </w:tcPr>
                  <w:p w14:paraId="60FBAA60" w14:textId="77777777" w:rsidR="00307F9E" w:rsidRDefault="00307F9E">
                    <w:pPr>
                      <w:spacing w:before="100" w:beforeAutospacing="1" w:after="100" w:afterAutospacing="1"/>
                      <w:jc w:val="right"/>
                      <w:rPr>
                        <w:noProof/>
                      </w:rPr>
                    </w:pPr>
                    <w:r>
                      <w:rPr>
                        <w:noProof/>
                        <w:color w:val="000000"/>
                        <w:sz w:val="16"/>
                        <w:szCs w:val="16"/>
                      </w:rPr>
                      <w:t>[186]</w:t>
                    </w:r>
                  </w:p>
                </w:tc>
              </w:tr>
              <w:tr w:rsidR="00307F9E" w14:paraId="12396E10" w14:textId="77777777">
                <w:trPr>
                  <w:divId w:val="465852184"/>
                </w:trPr>
                <w:tc>
                  <w:tcPr>
                    <w:tcW w:w="0" w:type="auto"/>
                    <w:hideMark/>
                  </w:tcPr>
                  <w:p w14:paraId="4AA75AC5" w14:textId="77777777" w:rsidR="00307F9E" w:rsidRDefault="00307F9E">
                    <w:pPr>
                      <w:pStyle w:val="Bibliography"/>
                      <w:rPr>
                        <w:noProof/>
                      </w:rPr>
                    </w:pPr>
                    <w:r>
                      <w:rPr>
                        <w:noProof/>
                      </w:rPr>
                      <w:t xml:space="preserve">Clements, A. (2015), “Māori Waiata (Music): Re-Writing and Re-Righting the Indigenous Experience”, </w:t>
                    </w:r>
                    <w:r>
                      <w:rPr>
                        <w:i/>
                        <w:iCs/>
                        <w:noProof/>
                      </w:rPr>
                      <w:t>Other Ways of Knowing</w:t>
                    </w:r>
                    <w:r>
                      <w:rPr>
                        <w:noProof/>
                      </w:rPr>
                      <w:t>, Vol. 1.</w:t>
                    </w:r>
                  </w:p>
                </w:tc>
                <w:tc>
                  <w:tcPr>
                    <w:tcW w:w="600" w:type="dxa"/>
                    <w:noWrap/>
                    <w:hideMark/>
                  </w:tcPr>
                  <w:p w14:paraId="11520293" w14:textId="77777777" w:rsidR="00307F9E" w:rsidRDefault="00307F9E">
                    <w:pPr>
                      <w:spacing w:before="100" w:beforeAutospacing="1" w:after="100" w:afterAutospacing="1"/>
                      <w:jc w:val="right"/>
                      <w:rPr>
                        <w:noProof/>
                      </w:rPr>
                    </w:pPr>
                    <w:r>
                      <w:rPr>
                        <w:noProof/>
                        <w:color w:val="000000"/>
                        <w:sz w:val="16"/>
                        <w:szCs w:val="16"/>
                      </w:rPr>
                      <w:t>[29]</w:t>
                    </w:r>
                  </w:p>
                </w:tc>
              </w:tr>
              <w:tr w:rsidR="00307F9E" w14:paraId="49EEC98B" w14:textId="77777777">
                <w:trPr>
                  <w:divId w:val="465852184"/>
                </w:trPr>
                <w:tc>
                  <w:tcPr>
                    <w:tcW w:w="0" w:type="auto"/>
                    <w:hideMark/>
                  </w:tcPr>
                  <w:p w14:paraId="4040192E" w14:textId="77777777" w:rsidR="00307F9E" w:rsidRDefault="00307F9E">
                    <w:pPr>
                      <w:pStyle w:val="Bibliography"/>
                      <w:rPr>
                        <w:noProof/>
                      </w:rPr>
                    </w:pPr>
                    <w:r>
                      <w:rPr>
                        <w:noProof/>
                      </w:rPr>
                      <w:t xml:space="preserve">Collier, V. and W. Thomas (2004), “The astounding effectiveness of dual language education for all”, </w:t>
                    </w:r>
                    <w:r>
                      <w:rPr>
                        <w:i/>
                        <w:iCs/>
                        <w:noProof/>
                      </w:rPr>
                      <w:t>NABE Journal of Research and Practice</w:t>
                    </w:r>
                    <w:r>
                      <w:rPr>
                        <w:noProof/>
                      </w:rPr>
                      <w:t>, Vol. 2.</w:t>
                    </w:r>
                  </w:p>
                </w:tc>
                <w:tc>
                  <w:tcPr>
                    <w:tcW w:w="600" w:type="dxa"/>
                    <w:noWrap/>
                    <w:hideMark/>
                  </w:tcPr>
                  <w:p w14:paraId="7612CA7B" w14:textId="77777777" w:rsidR="00307F9E" w:rsidRDefault="00307F9E">
                    <w:pPr>
                      <w:spacing w:before="100" w:beforeAutospacing="1" w:after="100" w:afterAutospacing="1"/>
                      <w:jc w:val="right"/>
                      <w:rPr>
                        <w:noProof/>
                      </w:rPr>
                    </w:pPr>
                    <w:r>
                      <w:rPr>
                        <w:noProof/>
                        <w:color w:val="000000"/>
                        <w:sz w:val="16"/>
                        <w:szCs w:val="16"/>
                      </w:rPr>
                      <w:t>[140]</w:t>
                    </w:r>
                  </w:p>
                </w:tc>
              </w:tr>
              <w:tr w:rsidR="00307F9E" w14:paraId="55315E0D" w14:textId="77777777">
                <w:trPr>
                  <w:divId w:val="465852184"/>
                </w:trPr>
                <w:tc>
                  <w:tcPr>
                    <w:tcW w:w="0" w:type="auto"/>
                    <w:hideMark/>
                  </w:tcPr>
                  <w:p w14:paraId="68B6B2E2" w14:textId="77777777" w:rsidR="00307F9E" w:rsidRDefault="00307F9E">
                    <w:pPr>
                      <w:pStyle w:val="Bibliography"/>
                      <w:rPr>
                        <w:noProof/>
                      </w:rPr>
                    </w:pPr>
                    <w:r>
                      <w:rPr>
                        <w:noProof/>
                      </w:rPr>
                      <w:t xml:space="preserve">Coppens, A. (2014), “Learning by observing and pitching in. Benefits and processes of expanding repertoires”, </w:t>
                    </w:r>
                    <w:r>
                      <w:rPr>
                        <w:i/>
                        <w:iCs/>
                        <w:noProof/>
                      </w:rPr>
                      <w:t>Human Development</w:t>
                    </w:r>
                    <w:r>
                      <w:rPr>
                        <w:noProof/>
                      </w:rPr>
                      <w:t>, Vol. 57.</w:t>
                    </w:r>
                  </w:p>
                </w:tc>
                <w:tc>
                  <w:tcPr>
                    <w:tcW w:w="600" w:type="dxa"/>
                    <w:noWrap/>
                    <w:hideMark/>
                  </w:tcPr>
                  <w:p w14:paraId="43F97CB1" w14:textId="77777777" w:rsidR="00307F9E" w:rsidRDefault="00307F9E">
                    <w:pPr>
                      <w:spacing w:before="100" w:beforeAutospacing="1" w:after="100" w:afterAutospacing="1"/>
                      <w:jc w:val="right"/>
                      <w:rPr>
                        <w:noProof/>
                      </w:rPr>
                    </w:pPr>
                    <w:r>
                      <w:rPr>
                        <w:noProof/>
                        <w:color w:val="000000"/>
                        <w:sz w:val="16"/>
                        <w:szCs w:val="16"/>
                      </w:rPr>
                      <w:t>[108]</w:t>
                    </w:r>
                  </w:p>
                </w:tc>
              </w:tr>
              <w:tr w:rsidR="00307F9E" w14:paraId="02419230" w14:textId="77777777">
                <w:trPr>
                  <w:divId w:val="465852184"/>
                </w:trPr>
                <w:tc>
                  <w:tcPr>
                    <w:tcW w:w="0" w:type="auto"/>
                    <w:hideMark/>
                  </w:tcPr>
                  <w:p w14:paraId="61F20B10" w14:textId="77777777" w:rsidR="00307F9E" w:rsidRDefault="00307F9E">
                    <w:pPr>
                      <w:pStyle w:val="Bibliography"/>
                      <w:rPr>
                        <w:noProof/>
                      </w:rPr>
                    </w:pPr>
                    <w:r>
                      <w:rPr>
                        <w:noProof/>
                      </w:rPr>
                      <w:lastRenderedPageBreak/>
                      <w:t xml:space="preserve">Corder, S. (1975), “Error analysis, interlanguage and second language acquisition”, </w:t>
                    </w:r>
                    <w:r>
                      <w:rPr>
                        <w:i/>
                        <w:iCs/>
                        <w:noProof/>
                      </w:rPr>
                      <w:t>Language teaching</w:t>
                    </w:r>
                    <w:r>
                      <w:rPr>
                        <w:noProof/>
                      </w:rPr>
                      <w:t>, Vol. 8.</w:t>
                    </w:r>
                  </w:p>
                </w:tc>
                <w:tc>
                  <w:tcPr>
                    <w:tcW w:w="600" w:type="dxa"/>
                    <w:noWrap/>
                    <w:hideMark/>
                  </w:tcPr>
                  <w:p w14:paraId="1D9F45B2" w14:textId="77777777" w:rsidR="00307F9E" w:rsidRDefault="00307F9E">
                    <w:pPr>
                      <w:spacing w:before="100" w:beforeAutospacing="1" w:after="100" w:afterAutospacing="1"/>
                      <w:jc w:val="right"/>
                      <w:rPr>
                        <w:noProof/>
                      </w:rPr>
                    </w:pPr>
                    <w:r>
                      <w:rPr>
                        <w:noProof/>
                        <w:color w:val="000000"/>
                        <w:sz w:val="16"/>
                        <w:szCs w:val="16"/>
                      </w:rPr>
                      <w:t>[136]</w:t>
                    </w:r>
                  </w:p>
                </w:tc>
              </w:tr>
              <w:tr w:rsidR="00307F9E" w14:paraId="20FAD1BA" w14:textId="77777777">
                <w:trPr>
                  <w:divId w:val="465852184"/>
                </w:trPr>
                <w:tc>
                  <w:tcPr>
                    <w:tcW w:w="0" w:type="auto"/>
                    <w:hideMark/>
                  </w:tcPr>
                  <w:p w14:paraId="2891EAB8" w14:textId="77777777" w:rsidR="00307F9E" w:rsidRDefault="00307F9E">
                    <w:pPr>
                      <w:pStyle w:val="Bibliography"/>
                      <w:rPr>
                        <w:noProof/>
                      </w:rPr>
                    </w:pPr>
                    <w:r>
                      <w:rPr>
                        <w:noProof/>
                      </w:rPr>
                      <w:t xml:space="preserve">Cummins, J. (1991), “Conversational and academic language proficiency in bilingual contexts”, </w:t>
                    </w:r>
                    <w:r>
                      <w:rPr>
                        <w:i/>
                        <w:iCs/>
                        <w:noProof/>
                      </w:rPr>
                      <w:t>Association Internationale de Linguistique (AILA)</w:t>
                    </w:r>
                    <w:r>
                      <w:rPr>
                        <w:noProof/>
                      </w:rPr>
                      <w:t>, Vol. 8.</w:t>
                    </w:r>
                  </w:p>
                </w:tc>
                <w:tc>
                  <w:tcPr>
                    <w:tcW w:w="600" w:type="dxa"/>
                    <w:noWrap/>
                    <w:hideMark/>
                  </w:tcPr>
                  <w:p w14:paraId="00E65FEE" w14:textId="77777777" w:rsidR="00307F9E" w:rsidRDefault="00307F9E">
                    <w:pPr>
                      <w:spacing w:before="100" w:beforeAutospacing="1" w:after="100" w:afterAutospacing="1"/>
                      <w:jc w:val="right"/>
                      <w:rPr>
                        <w:noProof/>
                      </w:rPr>
                    </w:pPr>
                    <w:r>
                      <w:rPr>
                        <w:noProof/>
                        <w:color w:val="000000"/>
                        <w:sz w:val="16"/>
                        <w:szCs w:val="16"/>
                      </w:rPr>
                      <w:t>[137]</w:t>
                    </w:r>
                  </w:p>
                </w:tc>
              </w:tr>
              <w:tr w:rsidR="00307F9E" w14:paraId="04D4C33E" w14:textId="77777777">
                <w:trPr>
                  <w:divId w:val="465852184"/>
                </w:trPr>
                <w:tc>
                  <w:tcPr>
                    <w:tcW w:w="0" w:type="auto"/>
                    <w:hideMark/>
                  </w:tcPr>
                  <w:p w14:paraId="514CA31D" w14:textId="77777777" w:rsidR="00307F9E" w:rsidRDefault="00307F9E">
                    <w:pPr>
                      <w:pStyle w:val="Bibliography"/>
                      <w:rPr>
                        <w:noProof/>
                      </w:rPr>
                    </w:pPr>
                    <w:r>
                      <w:rPr>
                        <w:noProof/>
                      </w:rPr>
                      <w:t xml:space="preserve">Cummins, J. (1991), “Conversational and academic language proficiency in bilingual contexts”, </w:t>
                    </w:r>
                    <w:r>
                      <w:rPr>
                        <w:i/>
                        <w:iCs/>
                        <w:noProof/>
                      </w:rPr>
                      <w:t>Association Internationale de Linguistique (AILA) review</w:t>
                    </w:r>
                    <w:r>
                      <w:rPr>
                        <w:noProof/>
                      </w:rPr>
                      <w:t>, Vol. 8.</w:t>
                    </w:r>
                  </w:p>
                </w:tc>
                <w:tc>
                  <w:tcPr>
                    <w:tcW w:w="600" w:type="dxa"/>
                    <w:noWrap/>
                    <w:hideMark/>
                  </w:tcPr>
                  <w:p w14:paraId="041A6D03" w14:textId="77777777" w:rsidR="00307F9E" w:rsidRDefault="00307F9E">
                    <w:pPr>
                      <w:spacing w:before="100" w:beforeAutospacing="1" w:after="100" w:afterAutospacing="1"/>
                      <w:jc w:val="right"/>
                      <w:rPr>
                        <w:noProof/>
                      </w:rPr>
                    </w:pPr>
                    <w:r>
                      <w:rPr>
                        <w:noProof/>
                        <w:color w:val="000000"/>
                        <w:sz w:val="16"/>
                        <w:szCs w:val="16"/>
                      </w:rPr>
                      <w:t>[155]</w:t>
                    </w:r>
                  </w:p>
                </w:tc>
              </w:tr>
              <w:tr w:rsidR="00307F9E" w14:paraId="761C9B84" w14:textId="77777777">
                <w:trPr>
                  <w:divId w:val="465852184"/>
                </w:trPr>
                <w:tc>
                  <w:tcPr>
                    <w:tcW w:w="0" w:type="auto"/>
                    <w:hideMark/>
                  </w:tcPr>
                  <w:p w14:paraId="7152C902" w14:textId="77777777" w:rsidR="00307F9E" w:rsidRDefault="00307F9E">
                    <w:pPr>
                      <w:pStyle w:val="Bibliography"/>
                      <w:rPr>
                        <w:noProof/>
                      </w:rPr>
                    </w:pPr>
                    <w:r>
                      <w:rPr>
                        <w:noProof/>
                      </w:rPr>
                      <w:t xml:space="preserve">de France, C. (2013), “Indigenous/Aboriginal Pedagogies Restored: Courses and programs in the Faculty of Education at the University of Victoria”, </w:t>
                    </w:r>
                    <w:r>
                      <w:rPr>
                        <w:i/>
                        <w:iCs/>
                        <w:noProof/>
                      </w:rPr>
                      <w:t>International Education</w:t>
                    </w:r>
                    <w:r>
                      <w:rPr>
                        <w:noProof/>
                      </w:rPr>
                      <w:t>, Vol. 43/1.</w:t>
                    </w:r>
                  </w:p>
                </w:tc>
                <w:tc>
                  <w:tcPr>
                    <w:tcW w:w="600" w:type="dxa"/>
                    <w:noWrap/>
                    <w:hideMark/>
                  </w:tcPr>
                  <w:p w14:paraId="0FF6475E" w14:textId="77777777" w:rsidR="00307F9E" w:rsidRDefault="00307F9E">
                    <w:pPr>
                      <w:spacing w:before="100" w:beforeAutospacing="1" w:after="100" w:afterAutospacing="1"/>
                      <w:jc w:val="right"/>
                      <w:rPr>
                        <w:noProof/>
                      </w:rPr>
                    </w:pPr>
                    <w:r>
                      <w:rPr>
                        <w:noProof/>
                        <w:color w:val="000000"/>
                        <w:sz w:val="16"/>
                        <w:szCs w:val="16"/>
                      </w:rPr>
                      <w:t>[210]</w:t>
                    </w:r>
                  </w:p>
                </w:tc>
              </w:tr>
              <w:tr w:rsidR="00307F9E" w14:paraId="282BB51F" w14:textId="77777777">
                <w:trPr>
                  <w:divId w:val="465852184"/>
                </w:trPr>
                <w:tc>
                  <w:tcPr>
                    <w:tcW w:w="0" w:type="auto"/>
                    <w:hideMark/>
                  </w:tcPr>
                  <w:p w14:paraId="428703E6" w14:textId="77777777" w:rsidR="00307F9E" w:rsidRDefault="00307F9E">
                    <w:pPr>
                      <w:pStyle w:val="Bibliography"/>
                      <w:rPr>
                        <w:noProof/>
                      </w:rPr>
                    </w:pPr>
                    <w:r>
                      <w:rPr>
                        <w:noProof/>
                      </w:rPr>
                      <w:t xml:space="preserve">De Jong, E. (2002), “Effective bilingual education: From theory to academic achievement in a two-way bilingual program”, </w:t>
                    </w:r>
                    <w:r>
                      <w:rPr>
                        <w:i/>
                        <w:iCs/>
                        <w:noProof/>
                      </w:rPr>
                      <w:t>Bilingual Research Journal</w:t>
                    </w:r>
                    <w:r>
                      <w:rPr>
                        <w:noProof/>
                      </w:rPr>
                      <w:t>, Vol. 26/1.</w:t>
                    </w:r>
                  </w:p>
                </w:tc>
                <w:tc>
                  <w:tcPr>
                    <w:tcW w:w="600" w:type="dxa"/>
                    <w:noWrap/>
                    <w:hideMark/>
                  </w:tcPr>
                  <w:p w14:paraId="50AD6C97" w14:textId="77777777" w:rsidR="00307F9E" w:rsidRDefault="00307F9E">
                    <w:pPr>
                      <w:spacing w:before="100" w:beforeAutospacing="1" w:after="100" w:afterAutospacing="1"/>
                      <w:jc w:val="right"/>
                      <w:rPr>
                        <w:noProof/>
                      </w:rPr>
                    </w:pPr>
                    <w:r>
                      <w:rPr>
                        <w:noProof/>
                        <w:color w:val="000000"/>
                        <w:sz w:val="16"/>
                        <w:szCs w:val="16"/>
                      </w:rPr>
                      <w:t>[126]</w:t>
                    </w:r>
                  </w:p>
                </w:tc>
              </w:tr>
              <w:tr w:rsidR="00307F9E" w14:paraId="6D3648D1" w14:textId="77777777">
                <w:trPr>
                  <w:divId w:val="465852184"/>
                </w:trPr>
                <w:tc>
                  <w:tcPr>
                    <w:tcW w:w="0" w:type="auto"/>
                    <w:hideMark/>
                  </w:tcPr>
                  <w:p w14:paraId="2FD03F0E" w14:textId="77777777" w:rsidR="00307F9E" w:rsidRDefault="00307F9E">
                    <w:pPr>
                      <w:pStyle w:val="Bibliography"/>
                      <w:rPr>
                        <w:noProof/>
                      </w:rPr>
                    </w:pPr>
                    <w:r>
                      <w:rPr>
                        <w:noProof/>
                      </w:rPr>
                      <w:t xml:space="preserve">De Korne, H. and W. Leonard (2017), “Reclaiming languages: Contesting and decolonising ’language endangerment’ from the ground up”, in Leonard, W. and H. de Korne (eds.), </w:t>
                    </w:r>
                    <w:r>
                      <w:rPr>
                        <w:i/>
                        <w:iCs/>
                        <w:noProof/>
                      </w:rPr>
                      <w:t>Language Documentation and Descroption</w:t>
                    </w:r>
                    <w:r>
                      <w:rPr>
                        <w:noProof/>
                      </w:rPr>
                      <w:t>, EL Publishing, London.</w:t>
                    </w:r>
                  </w:p>
                </w:tc>
                <w:tc>
                  <w:tcPr>
                    <w:tcW w:w="600" w:type="dxa"/>
                    <w:noWrap/>
                    <w:hideMark/>
                  </w:tcPr>
                  <w:p w14:paraId="630FB8ED" w14:textId="77777777" w:rsidR="00307F9E" w:rsidRDefault="00307F9E">
                    <w:pPr>
                      <w:spacing w:before="100" w:beforeAutospacing="1" w:after="100" w:afterAutospacing="1"/>
                      <w:jc w:val="right"/>
                      <w:rPr>
                        <w:noProof/>
                      </w:rPr>
                    </w:pPr>
                    <w:r>
                      <w:rPr>
                        <w:noProof/>
                        <w:color w:val="000000"/>
                        <w:sz w:val="16"/>
                        <w:szCs w:val="16"/>
                      </w:rPr>
                      <w:t>[109]</w:t>
                    </w:r>
                  </w:p>
                </w:tc>
              </w:tr>
              <w:tr w:rsidR="00307F9E" w14:paraId="46547C20" w14:textId="77777777">
                <w:trPr>
                  <w:divId w:val="465852184"/>
                </w:trPr>
                <w:tc>
                  <w:tcPr>
                    <w:tcW w:w="0" w:type="auto"/>
                    <w:hideMark/>
                  </w:tcPr>
                  <w:p w14:paraId="56946945" w14:textId="77777777" w:rsidR="00307F9E" w:rsidRDefault="00307F9E">
                    <w:pPr>
                      <w:pStyle w:val="Bibliography"/>
                      <w:rPr>
                        <w:noProof/>
                      </w:rPr>
                    </w:pPr>
                    <w:r>
                      <w:rPr>
                        <w:noProof/>
                      </w:rPr>
                      <w:t xml:space="preserve">Department of Aboriginal Affairs (2013), </w:t>
                    </w:r>
                    <w:r>
                      <w:rPr>
                        <w:i/>
                        <w:iCs/>
                        <w:noProof/>
                      </w:rPr>
                      <w:t>OCHRE: Opportunity, choice, healing, responsibility, empowerment - NSW Government Plan for Aboriginal affairs: education, employment and accountability</w:t>
                    </w:r>
                    <w:r>
                      <w:rPr>
                        <w:noProof/>
                      </w:rPr>
                      <w:t xml:space="preserve">, </w:t>
                    </w:r>
                    <w:r>
                      <w:rPr>
                        <w:noProof/>
                        <w:color w:val="0000FF"/>
                        <w:u w:val="single"/>
                      </w:rPr>
                      <w:t>https://www.aboriginalaffairs.nsw.gov.au/pdfs/OCHRE/AA_OCHRE_final.pdf</w:t>
                    </w:r>
                    <w:r>
                      <w:rPr>
                        <w:noProof/>
                      </w:rPr>
                      <w:t xml:space="preserve"> (accessed on 4 October 2021).</w:t>
                    </w:r>
                  </w:p>
                </w:tc>
                <w:tc>
                  <w:tcPr>
                    <w:tcW w:w="600" w:type="dxa"/>
                    <w:noWrap/>
                    <w:hideMark/>
                  </w:tcPr>
                  <w:p w14:paraId="169752E9" w14:textId="77777777" w:rsidR="00307F9E" w:rsidRDefault="00307F9E">
                    <w:pPr>
                      <w:spacing w:before="100" w:beforeAutospacing="1" w:after="100" w:afterAutospacing="1"/>
                      <w:jc w:val="right"/>
                      <w:rPr>
                        <w:noProof/>
                      </w:rPr>
                    </w:pPr>
                    <w:r>
                      <w:rPr>
                        <w:noProof/>
                        <w:color w:val="000000"/>
                        <w:sz w:val="16"/>
                        <w:szCs w:val="16"/>
                      </w:rPr>
                      <w:t>[73]</w:t>
                    </w:r>
                  </w:p>
                </w:tc>
              </w:tr>
              <w:tr w:rsidR="00307F9E" w14:paraId="5D502258" w14:textId="77777777">
                <w:trPr>
                  <w:divId w:val="465852184"/>
                </w:trPr>
                <w:tc>
                  <w:tcPr>
                    <w:tcW w:w="0" w:type="auto"/>
                    <w:hideMark/>
                  </w:tcPr>
                  <w:p w14:paraId="322ABC68" w14:textId="77777777" w:rsidR="00307F9E" w:rsidRDefault="00307F9E">
                    <w:pPr>
                      <w:pStyle w:val="Bibliography"/>
                      <w:rPr>
                        <w:noProof/>
                      </w:rPr>
                    </w:pPr>
                    <w:r>
                      <w:rPr>
                        <w:noProof/>
                      </w:rPr>
                      <w:t xml:space="preserve">Department of Communities (2019), </w:t>
                    </w:r>
                    <w:r>
                      <w:rPr>
                        <w:i/>
                        <w:iCs/>
                        <w:noProof/>
                      </w:rPr>
                      <w:t>Our Multicultural Island: Tasmania’s Multicultural Policy and Action Plan 2019-2022</w:t>
                    </w:r>
                    <w:r>
                      <w:rPr>
                        <w:noProof/>
                      </w:rPr>
                      <w:t xml:space="preserve">, State of Tasmania, Hobart, </w:t>
                    </w:r>
                    <w:r>
                      <w:rPr>
                        <w:noProof/>
                        <w:color w:val="0000FF"/>
                        <w:u w:val="single"/>
                      </w:rPr>
                      <w:t>https://www.communities.tas.gov.au/__data/assets/pdf_file/0023/62168/Our-Multicultural-Island-Policy-2019.pdf</w:t>
                    </w:r>
                    <w:r>
                      <w:rPr>
                        <w:noProof/>
                      </w:rPr>
                      <w:t xml:space="preserve"> (accessed on 4 October 2021).</w:t>
                    </w:r>
                  </w:p>
                </w:tc>
                <w:tc>
                  <w:tcPr>
                    <w:tcW w:w="600" w:type="dxa"/>
                    <w:noWrap/>
                    <w:hideMark/>
                  </w:tcPr>
                  <w:p w14:paraId="2C8AA106" w14:textId="77777777" w:rsidR="00307F9E" w:rsidRDefault="00307F9E">
                    <w:pPr>
                      <w:spacing w:before="100" w:beforeAutospacing="1" w:after="100" w:afterAutospacing="1"/>
                      <w:jc w:val="right"/>
                      <w:rPr>
                        <w:noProof/>
                      </w:rPr>
                    </w:pPr>
                    <w:r>
                      <w:rPr>
                        <w:noProof/>
                        <w:color w:val="000000"/>
                        <w:sz w:val="16"/>
                        <w:szCs w:val="16"/>
                      </w:rPr>
                      <w:t>[83]</w:t>
                    </w:r>
                  </w:p>
                </w:tc>
              </w:tr>
              <w:tr w:rsidR="00307F9E" w14:paraId="4969CC83" w14:textId="77777777">
                <w:trPr>
                  <w:divId w:val="465852184"/>
                </w:trPr>
                <w:tc>
                  <w:tcPr>
                    <w:tcW w:w="0" w:type="auto"/>
                    <w:hideMark/>
                  </w:tcPr>
                  <w:p w14:paraId="66426887" w14:textId="77777777" w:rsidR="00307F9E" w:rsidRDefault="00307F9E">
                    <w:pPr>
                      <w:pStyle w:val="Bibliography"/>
                      <w:rPr>
                        <w:noProof/>
                      </w:rPr>
                    </w:pPr>
                    <w:r>
                      <w:rPr>
                        <w:noProof/>
                      </w:rPr>
                      <w:t xml:space="preserve">Department of Education and Early Childhood Development (Nova Scotia) (2015), </w:t>
                    </w:r>
                    <w:r>
                      <w:rPr>
                        <w:i/>
                        <w:iCs/>
                        <w:noProof/>
                      </w:rPr>
                      <w:t>Foundation for Mi’kmaw Language Curriculum</w:t>
                    </w:r>
                    <w:r>
                      <w:rPr>
                        <w:noProof/>
                      </w:rPr>
                      <w:t xml:space="preserve">, </w:t>
                    </w:r>
                    <w:r>
                      <w:rPr>
                        <w:noProof/>
                        <w:color w:val="0000FF"/>
                        <w:u w:val="single"/>
                      </w:rPr>
                      <w:t>https://www.ednet.ns.ca/files/curriculum/Foundation_for_Mikmaw_Language_Curriculum.pdf</w:t>
                    </w:r>
                    <w:r>
                      <w:rPr>
                        <w:noProof/>
                      </w:rPr>
                      <w:t xml:space="preserve"> (accessed on 4 October 2021).</w:t>
                    </w:r>
                  </w:p>
                </w:tc>
                <w:tc>
                  <w:tcPr>
                    <w:tcW w:w="600" w:type="dxa"/>
                    <w:noWrap/>
                    <w:hideMark/>
                  </w:tcPr>
                  <w:p w14:paraId="1CB0E5BA" w14:textId="77777777" w:rsidR="00307F9E" w:rsidRDefault="00307F9E">
                    <w:pPr>
                      <w:spacing w:before="100" w:beforeAutospacing="1" w:after="100" w:afterAutospacing="1"/>
                      <w:jc w:val="right"/>
                      <w:rPr>
                        <w:noProof/>
                      </w:rPr>
                    </w:pPr>
                    <w:r>
                      <w:rPr>
                        <w:noProof/>
                        <w:color w:val="000000"/>
                        <w:sz w:val="16"/>
                        <w:szCs w:val="16"/>
                      </w:rPr>
                      <w:t>[95]</w:t>
                    </w:r>
                  </w:p>
                </w:tc>
              </w:tr>
              <w:tr w:rsidR="00307F9E" w14:paraId="00FAD6E7" w14:textId="77777777">
                <w:trPr>
                  <w:divId w:val="465852184"/>
                </w:trPr>
                <w:tc>
                  <w:tcPr>
                    <w:tcW w:w="0" w:type="auto"/>
                    <w:hideMark/>
                  </w:tcPr>
                  <w:p w14:paraId="7AD7A36A" w14:textId="77777777" w:rsidR="00307F9E" w:rsidRDefault="00307F9E">
                    <w:pPr>
                      <w:pStyle w:val="Bibliography"/>
                      <w:rPr>
                        <w:noProof/>
                      </w:rPr>
                    </w:pPr>
                    <w:r>
                      <w:rPr>
                        <w:noProof/>
                      </w:rPr>
                      <w:t xml:space="preserve">Department of Education, Culture and Employment (2018), </w:t>
                    </w:r>
                    <w:r>
                      <w:rPr>
                        <w:i/>
                        <w:iCs/>
                        <w:noProof/>
                      </w:rPr>
                      <w:t>Northwest Territories Junior Kindergarten – Grade 12 Indigenous Languages and Education Policy</w:t>
                    </w:r>
                    <w:r>
                      <w:rPr>
                        <w:noProof/>
                      </w:rPr>
                      <w:t xml:space="preserve">, Government of Northwest Territories, </w:t>
                    </w:r>
                    <w:r>
                      <w:rPr>
                        <w:noProof/>
                        <w:color w:val="0000FF"/>
                        <w:u w:val="single"/>
                      </w:rPr>
                      <w:t>https://www.ece.gov.nt.ca/sites/ece/files/resources/nwt_indigenous_languages_and_education_ile_policy_-_final_august_2018.pdf</w:t>
                    </w:r>
                    <w:r>
                      <w:rPr>
                        <w:noProof/>
                      </w:rPr>
                      <w:t xml:space="preserve"> (accessed on 4 October 2021).</w:t>
                    </w:r>
                  </w:p>
                </w:tc>
                <w:tc>
                  <w:tcPr>
                    <w:tcW w:w="600" w:type="dxa"/>
                    <w:noWrap/>
                    <w:hideMark/>
                  </w:tcPr>
                  <w:p w14:paraId="3DA513F1" w14:textId="77777777" w:rsidR="00307F9E" w:rsidRDefault="00307F9E">
                    <w:pPr>
                      <w:spacing w:before="100" w:beforeAutospacing="1" w:after="100" w:afterAutospacing="1"/>
                      <w:jc w:val="right"/>
                      <w:rPr>
                        <w:noProof/>
                      </w:rPr>
                    </w:pPr>
                    <w:r>
                      <w:rPr>
                        <w:noProof/>
                        <w:color w:val="000000"/>
                        <w:sz w:val="16"/>
                        <w:szCs w:val="16"/>
                      </w:rPr>
                      <w:t>[94]</w:t>
                    </w:r>
                  </w:p>
                </w:tc>
              </w:tr>
              <w:tr w:rsidR="00307F9E" w14:paraId="0B6E6AC8" w14:textId="77777777">
                <w:trPr>
                  <w:divId w:val="465852184"/>
                </w:trPr>
                <w:tc>
                  <w:tcPr>
                    <w:tcW w:w="0" w:type="auto"/>
                    <w:hideMark/>
                  </w:tcPr>
                  <w:p w14:paraId="321300EF" w14:textId="77777777" w:rsidR="00307F9E" w:rsidRDefault="00307F9E">
                    <w:pPr>
                      <w:pStyle w:val="Bibliography"/>
                      <w:rPr>
                        <w:noProof/>
                      </w:rPr>
                    </w:pPr>
                    <w:r>
                      <w:rPr>
                        <w:noProof/>
                      </w:rPr>
                      <w:t xml:space="preserve">Department of Education, Nunavut (2019), “Revitalizing and Strengthening Inuktut in Nunavut (Media Release)”, </w:t>
                    </w:r>
                    <w:r>
                      <w:rPr>
                        <w:noProof/>
                        <w:color w:val="0000FF"/>
                        <w:u w:val="single"/>
                      </w:rPr>
                      <w:t>https://www.gov.nu.ca/education/news/revitalizing-and-strengthening-inuktut-nunavut</w:t>
                    </w:r>
                    <w:r>
                      <w:rPr>
                        <w:noProof/>
                      </w:rPr>
                      <w:t xml:space="preserve"> (accessed on 1 October 2021).</w:t>
                    </w:r>
                  </w:p>
                </w:tc>
                <w:tc>
                  <w:tcPr>
                    <w:tcW w:w="600" w:type="dxa"/>
                    <w:noWrap/>
                    <w:hideMark/>
                  </w:tcPr>
                  <w:p w14:paraId="1E17A054" w14:textId="77777777" w:rsidR="00307F9E" w:rsidRDefault="00307F9E">
                    <w:pPr>
                      <w:spacing w:before="100" w:beforeAutospacing="1" w:after="100" w:afterAutospacing="1"/>
                      <w:jc w:val="right"/>
                      <w:rPr>
                        <w:noProof/>
                      </w:rPr>
                    </w:pPr>
                    <w:r>
                      <w:rPr>
                        <w:noProof/>
                        <w:color w:val="000000"/>
                        <w:sz w:val="16"/>
                        <w:szCs w:val="16"/>
                      </w:rPr>
                      <w:t>[97]</w:t>
                    </w:r>
                  </w:p>
                </w:tc>
              </w:tr>
              <w:tr w:rsidR="00307F9E" w14:paraId="791F07B0" w14:textId="77777777">
                <w:trPr>
                  <w:divId w:val="465852184"/>
                </w:trPr>
                <w:tc>
                  <w:tcPr>
                    <w:tcW w:w="0" w:type="auto"/>
                    <w:hideMark/>
                  </w:tcPr>
                  <w:p w14:paraId="26033597" w14:textId="77777777" w:rsidR="00307F9E" w:rsidRDefault="00307F9E">
                    <w:pPr>
                      <w:pStyle w:val="Bibliography"/>
                      <w:rPr>
                        <w:noProof/>
                      </w:rPr>
                    </w:pPr>
                    <w:r>
                      <w:rPr>
                        <w:noProof/>
                      </w:rPr>
                      <w:t xml:space="preserve">Department of Education, Queensland (2018), </w:t>
                    </w:r>
                    <w:r>
                      <w:rPr>
                        <w:i/>
                        <w:iCs/>
                        <w:noProof/>
                      </w:rPr>
                      <w:t>Aboriginal and Torres Strait Islander Languages statement</w:t>
                    </w:r>
                    <w:r>
                      <w:rPr>
                        <w:noProof/>
                      </w:rPr>
                      <w:t xml:space="preserve">, State of Queensland, Brisbane, </w:t>
                    </w:r>
                    <w:r>
                      <w:rPr>
                        <w:noProof/>
                        <w:color w:val="0000FF"/>
                        <w:u w:val="single"/>
                      </w:rPr>
                      <w:t>https://education.qld.gov.au/student/Documents/aboriginal-torres-strait-islander-languages-statement.pdf</w:t>
                    </w:r>
                    <w:r>
                      <w:rPr>
                        <w:noProof/>
                      </w:rPr>
                      <w:t xml:space="preserve"> (accessed on 4 October 2021).</w:t>
                    </w:r>
                  </w:p>
                </w:tc>
                <w:tc>
                  <w:tcPr>
                    <w:tcW w:w="600" w:type="dxa"/>
                    <w:noWrap/>
                    <w:hideMark/>
                  </w:tcPr>
                  <w:p w14:paraId="642BA327" w14:textId="77777777" w:rsidR="00307F9E" w:rsidRDefault="00307F9E">
                    <w:pPr>
                      <w:spacing w:before="100" w:beforeAutospacing="1" w:after="100" w:afterAutospacing="1"/>
                      <w:jc w:val="right"/>
                      <w:rPr>
                        <w:noProof/>
                      </w:rPr>
                    </w:pPr>
                    <w:r>
                      <w:rPr>
                        <w:noProof/>
                        <w:color w:val="000000"/>
                        <w:sz w:val="16"/>
                        <w:szCs w:val="16"/>
                      </w:rPr>
                      <w:t>[80]</w:t>
                    </w:r>
                  </w:p>
                </w:tc>
              </w:tr>
              <w:tr w:rsidR="00307F9E" w14:paraId="3C32985C" w14:textId="77777777">
                <w:trPr>
                  <w:divId w:val="465852184"/>
                </w:trPr>
                <w:tc>
                  <w:tcPr>
                    <w:tcW w:w="0" w:type="auto"/>
                    <w:hideMark/>
                  </w:tcPr>
                  <w:p w14:paraId="3676DE7A" w14:textId="77777777" w:rsidR="00307F9E" w:rsidRDefault="00307F9E">
                    <w:pPr>
                      <w:pStyle w:val="Bibliography"/>
                      <w:rPr>
                        <w:noProof/>
                      </w:rPr>
                    </w:pPr>
                    <w:r>
                      <w:rPr>
                        <w:noProof/>
                      </w:rPr>
                      <w:t xml:space="preserve">Department of Education, South Australia (2018), </w:t>
                    </w:r>
                    <w:r>
                      <w:rPr>
                        <w:i/>
                        <w:iCs/>
                        <w:noProof/>
                      </w:rPr>
                      <w:t>Aboriginal Education Strategy 2019 to 2029</w:t>
                    </w:r>
                    <w:r>
                      <w:rPr>
                        <w:noProof/>
                      </w:rPr>
                      <w:t xml:space="preserve">, Government of South Australia, Adelaide, </w:t>
                    </w:r>
                    <w:r>
                      <w:rPr>
                        <w:noProof/>
                        <w:color w:val="0000FF"/>
                        <w:u w:val="single"/>
                      </w:rPr>
                      <w:t>https://www.education.sa.gov.au/sites/default/files/dept-ed-aboriginal-education-strategy-2019-2029.pdf</w:t>
                    </w:r>
                    <w:r>
                      <w:rPr>
                        <w:noProof/>
                      </w:rPr>
                      <w:t xml:space="preserve"> (accessed on 4 October 2021).</w:t>
                    </w:r>
                  </w:p>
                </w:tc>
                <w:tc>
                  <w:tcPr>
                    <w:tcW w:w="600" w:type="dxa"/>
                    <w:noWrap/>
                    <w:hideMark/>
                  </w:tcPr>
                  <w:p w14:paraId="0941CBC2" w14:textId="77777777" w:rsidR="00307F9E" w:rsidRDefault="00307F9E">
                    <w:pPr>
                      <w:spacing w:before="100" w:beforeAutospacing="1" w:after="100" w:afterAutospacing="1"/>
                      <w:jc w:val="right"/>
                      <w:rPr>
                        <w:noProof/>
                      </w:rPr>
                    </w:pPr>
                    <w:r>
                      <w:rPr>
                        <w:noProof/>
                        <w:color w:val="000000"/>
                        <w:sz w:val="16"/>
                        <w:szCs w:val="16"/>
                      </w:rPr>
                      <w:t>[81]</w:t>
                    </w:r>
                  </w:p>
                </w:tc>
              </w:tr>
              <w:tr w:rsidR="00307F9E" w14:paraId="565998E2" w14:textId="77777777">
                <w:trPr>
                  <w:divId w:val="465852184"/>
                </w:trPr>
                <w:tc>
                  <w:tcPr>
                    <w:tcW w:w="0" w:type="auto"/>
                    <w:hideMark/>
                  </w:tcPr>
                  <w:p w14:paraId="7C0BD4D0" w14:textId="77777777" w:rsidR="00307F9E" w:rsidRDefault="00307F9E">
                    <w:pPr>
                      <w:pStyle w:val="Bibliography"/>
                      <w:rPr>
                        <w:noProof/>
                      </w:rPr>
                    </w:pPr>
                    <w:r>
                      <w:rPr>
                        <w:noProof/>
                      </w:rPr>
                      <w:lastRenderedPageBreak/>
                      <w:t xml:space="preserve">Department of Education, N. (2017), </w:t>
                    </w:r>
                    <w:r>
                      <w:rPr>
                        <w:i/>
                        <w:iCs/>
                        <w:noProof/>
                      </w:rPr>
                      <w:t>Guidelines for the implementation of Indigenous languages and cultures programs in schools</w:t>
                    </w:r>
                    <w:r>
                      <w:rPr>
                        <w:noProof/>
                      </w:rPr>
                      <w:t>, Northern Territory Government, Darwin.</w:t>
                    </w:r>
                  </w:p>
                </w:tc>
                <w:tc>
                  <w:tcPr>
                    <w:tcW w:w="600" w:type="dxa"/>
                    <w:noWrap/>
                    <w:hideMark/>
                  </w:tcPr>
                  <w:p w14:paraId="6CF03622" w14:textId="77777777" w:rsidR="00307F9E" w:rsidRDefault="00307F9E">
                    <w:pPr>
                      <w:spacing w:before="100" w:beforeAutospacing="1" w:after="100" w:afterAutospacing="1"/>
                      <w:jc w:val="right"/>
                      <w:rPr>
                        <w:noProof/>
                      </w:rPr>
                    </w:pPr>
                    <w:r>
                      <w:rPr>
                        <w:noProof/>
                        <w:color w:val="000000"/>
                        <w:sz w:val="16"/>
                        <w:szCs w:val="16"/>
                      </w:rPr>
                      <w:t>[177]</w:t>
                    </w:r>
                  </w:p>
                </w:tc>
              </w:tr>
              <w:tr w:rsidR="00307F9E" w14:paraId="0FD115F9" w14:textId="77777777">
                <w:trPr>
                  <w:divId w:val="465852184"/>
                </w:trPr>
                <w:tc>
                  <w:tcPr>
                    <w:tcW w:w="0" w:type="auto"/>
                    <w:hideMark/>
                  </w:tcPr>
                  <w:p w14:paraId="464AEA8C" w14:textId="77777777" w:rsidR="00307F9E" w:rsidRDefault="00307F9E">
                    <w:pPr>
                      <w:pStyle w:val="Bibliography"/>
                      <w:rPr>
                        <w:noProof/>
                      </w:rPr>
                    </w:pPr>
                    <w:r>
                      <w:rPr>
                        <w:noProof/>
                      </w:rPr>
                      <w:t xml:space="preserve">Department of Employment Education Training and Youth Affairs (1996), </w:t>
                    </w:r>
                    <w:r>
                      <w:rPr>
                        <w:i/>
                        <w:iCs/>
                        <w:noProof/>
                      </w:rPr>
                      <w:t>Australia’s Indigenous languages - Australian Indigenous Languages Framework Project</w:t>
                    </w:r>
                    <w:r>
                      <w:rPr>
                        <w:noProof/>
                      </w:rPr>
                      <w:t>, Senior Secondary Assessment Board of South Australia (SABSA), Wayville, SA.</w:t>
                    </w:r>
                  </w:p>
                </w:tc>
                <w:tc>
                  <w:tcPr>
                    <w:tcW w:w="600" w:type="dxa"/>
                    <w:noWrap/>
                    <w:hideMark/>
                  </w:tcPr>
                  <w:p w14:paraId="4314CB89" w14:textId="77777777" w:rsidR="00307F9E" w:rsidRDefault="00307F9E">
                    <w:pPr>
                      <w:spacing w:before="100" w:beforeAutospacing="1" w:after="100" w:afterAutospacing="1"/>
                      <w:jc w:val="right"/>
                      <w:rPr>
                        <w:noProof/>
                      </w:rPr>
                    </w:pPr>
                    <w:r>
                      <w:rPr>
                        <w:noProof/>
                        <w:color w:val="000000"/>
                        <w:sz w:val="16"/>
                        <w:szCs w:val="16"/>
                      </w:rPr>
                      <w:t>[82]</w:t>
                    </w:r>
                  </w:p>
                </w:tc>
              </w:tr>
              <w:tr w:rsidR="00307F9E" w14:paraId="62FC41DA" w14:textId="77777777">
                <w:trPr>
                  <w:divId w:val="465852184"/>
                </w:trPr>
                <w:tc>
                  <w:tcPr>
                    <w:tcW w:w="0" w:type="auto"/>
                    <w:hideMark/>
                  </w:tcPr>
                  <w:p w14:paraId="6344A4B5" w14:textId="77777777" w:rsidR="00307F9E" w:rsidRDefault="00307F9E">
                    <w:pPr>
                      <w:pStyle w:val="Bibliography"/>
                      <w:rPr>
                        <w:noProof/>
                      </w:rPr>
                    </w:pPr>
                    <w:r>
                      <w:rPr>
                        <w:noProof/>
                      </w:rPr>
                      <w:t xml:space="preserve">Devlin, B. (2019), </w:t>
                    </w:r>
                    <w:r>
                      <w:rPr>
                        <w:i/>
                        <w:iCs/>
                        <w:noProof/>
                      </w:rPr>
                      <w:t>Government support for NT bilingual education after 1950: A longer timeline</w:t>
                    </w:r>
                    <w:r>
                      <w:rPr>
                        <w:noProof/>
                      </w:rPr>
                      <w:t xml:space="preserve">, Friends of Bilingual Learning, </w:t>
                    </w:r>
                    <w:r>
                      <w:rPr>
                        <w:noProof/>
                        <w:color w:val="0000FF"/>
                        <w:u w:val="single"/>
                      </w:rPr>
                      <w:t>https://www.fobl.net.au/index.php/au-WA/history/71-government-support-for-nt-bilingual-education-after-1950-a-longer-timeline</w:t>
                    </w:r>
                    <w:r>
                      <w:rPr>
                        <w:noProof/>
                      </w:rPr>
                      <w:t xml:space="preserve"> (accessed on 4 October 2021).</w:t>
                    </w:r>
                  </w:p>
                </w:tc>
                <w:tc>
                  <w:tcPr>
                    <w:tcW w:w="600" w:type="dxa"/>
                    <w:noWrap/>
                    <w:hideMark/>
                  </w:tcPr>
                  <w:p w14:paraId="5B6F96E2" w14:textId="77777777" w:rsidR="00307F9E" w:rsidRDefault="00307F9E">
                    <w:pPr>
                      <w:spacing w:before="100" w:beforeAutospacing="1" w:after="100" w:afterAutospacing="1"/>
                      <w:jc w:val="right"/>
                      <w:rPr>
                        <w:noProof/>
                      </w:rPr>
                    </w:pPr>
                    <w:r>
                      <w:rPr>
                        <w:noProof/>
                        <w:color w:val="000000"/>
                        <w:sz w:val="16"/>
                        <w:szCs w:val="16"/>
                      </w:rPr>
                      <w:t>[77]</w:t>
                    </w:r>
                  </w:p>
                </w:tc>
              </w:tr>
              <w:tr w:rsidR="00307F9E" w14:paraId="1D47618D" w14:textId="77777777">
                <w:trPr>
                  <w:divId w:val="465852184"/>
                </w:trPr>
                <w:tc>
                  <w:tcPr>
                    <w:tcW w:w="0" w:type="auto"/>
                    <w:hideMark/>
                  </w:tcPr>
                  <w:p w14:paraId="02773BAA" w14:textId="77777777" w:rsidR="00307F9E" w:rsidRDefault="00307F9E">
                    <w:pPr>
                      <w:pStyle w:val="Bibliography"/>
                      <w:rPr>
                        <w:noProof/>
                      </w:rPr>
                    </w:pPr>
                    <w:r>
                      <w:rPr>
                        <w:noProof/>
                      </w:rPr>
                      <w:t xml:space="preserve">Devlin, B. et al. (2015), “Digital technologies and language resources – finding common ground”, in Huijser, H. et al. (eds.), </w:t>
                    </w:r>
                    <w:r>
                      <w:rPr>
                        <w:i/>
                        <w:iCs/>
                        <w:noProof/>
                      </w:rPr>
                      <w:t>Finding the Common Ground: Narratives, Provocations and Reflections from the 40 Year Celebration of Batchelor Institute</w:t>
                    </w:r>
                    <w:r>
                      <w:rPr>
                        <w:noProof/>
                      </w:rPr>
                      <w:t>, Batchelor Press, Batchelor NT.</w:t>
                    </w:r>
                  </w:p>
                </w:tc>
                <w:tc>
                  <w:tcPr>
                    <w:tcW w:w="600" w:type="dxa"/>
                    <w:noWrap/>
                    <w:hideMark/>
                  </w:tcPr>
                  <w:p w14:paraId="333898B7" w14:textId="77777777" w:rsidR="00307F9E" w:rsidRDefault="00307F9E">
                    <w:pPr>
                      <w:spacing w:before="100" w:beforeAutospacing="1" w:after="100" w:afterAutospacing="1"/>
                      <w:jc w:val="right"/>
                      <w:rPr>
                        <w:noProof/>
                      </w:rPr>
                    </w:pPr>
                    <w:r>
                      <w:rPr>
                        <w:noProof/>
                        <w:color w:val="000000"/>
                        <w:sz w:val="16"/>
                        <w:szCs w:val="16"/>
                      </w:rPr>
                      <w:t>[214]</w:t>
                    </w:r>
                  </w:p>
                </w:tc>
              </w:tr>
              <w:tr w:rsidR="00307F9E" w14:paraId="04D171C7" w14:textId="77777777">
                <w:trPr>
                  <w:divId w:val="465852184"/>
                </w:trPr>
                <w:tc>
                  <w:tcPr>
                    <w:tcW w:w="0" w:type="auto"/>
                    <w:hideMark/>
                  </w:tcPr>
                  <w:p w14:paraId="56762A20" w14:textId="77777777" w:rsidR="00307F9E" w:rsidRDefault="00307F9E">
                    <w:pPr>
                      <w:pStyle w:val="Bibliography"/>
                      <w:rPr>
                        <w:noProof/>
                      </w:rPr>
                    </w:pPr>
                    <w:r>
                      <w:rPr>
                        <w:noProof/>
                      </w:rPr>
                      <w:t xml:space="preserve">Dickson, G. (2016), “The largest language spoke exclusively in Australia”, </w:t>
                    </w:r>
                    <w:r>
                      <w:rPr>
                        <w:i/>
                        <w:iCs/>
                        <w:noProof/>
                      </w:rPr>
                      <w:t>The Conversation</w:t>
                    </w:r>
                    <w:r>
                      <w:rPr>
                        <w:noProof/>
                      </w:rPr>
                      <w:t xml:space="preserve">, </w:t>
                    </w:r>
                    <w:r>
                      <w:rPr>
                        <w:noProof/>
                        <w:color w:val="0000FF"/>
                        <w:u w:val="single"/>
                      </w:rPr>
                      <w:t>https://theconversation.com/explainer-the-largest-language-spoken-exclusively-in-australia-kriol-56286</w:t>
                    </w:r>
                    <w:r>
                      <w:rPr>
                        <w:noProof/>
                      </w:rPr>
                      <w:t xml:space="preserve"> (accessed on 24 September 2021).</w:t>
                    </w:r>
                  </w:p>
                </w:tc>
                <w:tc>
                  <w:tcPr>
                    <w:tcW w:w="600" w:type="dxa"/>
                    <w:noWrap/>
                    <w:hideMark/>
                  </w:tcPr>
                  <w:p w14:paraId="0E3AE78B" w14:textId="77777777" w:rsidR="00307F9E" w:rsidRDefault="00307F9E">
                    <w:pPr>
                      <w:spacing w:before="100" w:beforeAutospacing="1" w:after="100" w:afterAutospacing="1"/>
                      <w:jc w:val="right"/>
                      <w:rPr>
                        <w:noProof/>
                      </w:rPr>
                    </w:pPr>
                    <w:r>
                      <w:rPr>
                        <w:noProof/>
                        <w:color w:val="000000"/>
                        <w:sz w:val="16"/>
                        <w:szCs w:val="16"/>
                      </w:rPr>
                      <w:t>[38]</w:t>
                    </w:r>
                  </w:p>
                </w:tc>
              </w:tr>
              <w:tr w:rsidR="00307F9E" w14:paraId="4A8CFF4B" w14:textId="77777777">
                <w:trPr>
                  <w:divId w:val="465852184"/>
                </w:trPr>
                <w:tc>
                  <w:tcPr>
                    <w:tcW w:w="0" w:type="auto"/>
                    <w:hideMark/>
                  </w:tcPr>
                  <w:p w14:paraId="72068E32" w14:textId="77777777" w:rsidR="00307F9E" w:rsidRDefault="00307F9E">
                    <w:pPr>
                      <w:pStyle w:val="Bibliography"/>
                      <w:rPr>
                        <w:noProof/>
                      </w:rPr>
                    </w:pPr>
                    <w:r>
                      <w:rPr>
                        <w:noProof/>
                      </w:rPr>
                      <w:t xml:space="preserve">Dickson, G. (2010), “No Warlpiri, no school? A preliminary look at attendance in Warlpiri schools since introducing the First Four Hours of English policy”, </w:t>
                    </w:r>
                    <w:r>
                      <w:rPr>
                        <w:i/>
                        <w:iCs/>
                        <w:noProof/>
                      </w:rPr>
                      <w:t>Ngoonjook: A Journal of Australian Indigenous Issues</w:t>
                    </w:r>
                    <w:r>
                      <w:rPr>
                        <w:noProof/>
                      </w:rPr>
                      <w:t>, Vol. 35, pp. 97-113.</w:t>
                    </w:r>
                  </w:p>
                </w:tc>
                <w:tc>
                  <w:tcPr>
                    <w:tcW w:w="600" w:type="dxa"/>
                    <w:noWrap/>
                    <w:hideMark/>
                  </w:tcPr>
                  <w:p w14:paraId="008A0922" w14:textId="77777777" w:rsidR="00307F9E" w:rsidRDefault="00307F9E">
                    <w:pPr>
                      <w:spacing w:before="100" w:beforeAutospacing="1" w:after="100" w:afterAutospacing="1"/>
                      <w:jc w:val="right"/>
                      <w:rPr>
                        <w:noProof/>
                      </w:rPr>
                    </w:pPr>
                    <w:r>
                      <w:rPr>
                        <w:noProof/>
                        <w:color w:val="000000"/>
                        <w:sz w:val="16"/>
                        <w:szCs w:val="16"/>
                      </w:rPr>
                      <w:t>[56]</w:t>
                    </w:r>
                  </w:p>
                </w:tc>
              </w:tr>
              <w:tr w:rsidR="00307F9E" w14:paraId="4CC6AC82" w14:textId="77777777">
                <w:trPr>
                  <w:divId w:val="465852184"/>
                </w:trPr>
                <w:tc>
                  <w:tcPr>
                    <w:tcW w:w="0" w:type="auto"/>
                    <w:hideMark/>
                  </w:tcPr>
                  <w:p w14:paraId="1E2AC4F4" w14:textId="77777777" w:rsidR="00307F9E" w:rsidRDefault="00307F9E">
                    <w:pPr>
                      <w:pStyle w:val="Bibliography"/>
                      <w:rPr>
                        <w:noProof/>
                      </w:rPr>
                    </w:pPr>
                    <w:r>
                      <w:rPr>
                        <w:noProof/>
                      </w:rPr>
                      <w:t xml:space="preserve">Disbray, S. (2019), “Realising the Australian Curriculum Framework for Aboriginal Languages and Torres Strait Islander Languages”, </w:t>
                    </w:r>
                    <w:r>
                      <w:rPr>
                        <w:i/>
                        <w:iCs/>
                        <w:noProof/>
                      </w:rPr>
                      <w:t>Babel (Journal of the Australian Federation of Modern Language Teachers’ Associations)</w:t>
                    </w:r>
                    <w:r>
                      <w:rPr>
                        <w:noProof/>
                      </w:rPr>
                      <w:t>, Vol. 54, pp. 21-25.</w:t>
                    </w:r>
                  </w:p>
                </w:tc>
                <w:tc>
                  <w:tcPr>
                    <w:tcW w:w="600" w:type="dxa"/>
                    <w:noWrap/>
                    <w:hideMark/>
                  </w:tcPr>
                  <w:p w14:paraId="69D28860" w14:textId="77777777" w:rsidR="00307F9E" w:rsidRDefault="00307F9E">
                    <w:pPr>
                      <w:spacing w:before="100" w:beforeAutospacing="1" w:after="100" w:afterAutospacing="1"/>
                      <w:jc w:val="right"/>
                      <w:rPr>
                        <w:noProof/>
                      </w:rPr>
                    </w:pPr>
                    <w:r>
                      <w:rPr>
                        <w:noProof/>
                        <w:color w:val="000000"/>
                        <w:sz w:val="16"/>
                        <w:szCs w:val="16"/>
                      </w:rPr>
                      <w:t>[71]</w:t>
                    </w:r>
                  </w:p>
                </w:tc>
              </w:tr>
              <w:tr w:rsidR="00307F9E" w14:paraId="34930057" w14:textId="77777777">
                <w:trPr>
                  <w:divId w:val="465852184"/>
                </w:trPr>
                <w:tc>
                  <w:tcPr>
                    <w:tcW w:w="0" w:type="auto"/>
                    <w:hideMark/>
                  </w:tcPr>
                  <w:p w14:paraId="7CD4C4B3" w14:textId="77777777" w:rsidR="00307F9E" w:rsidRDefault="00307F9E">
                    <w:pPr>
                      <w:pStyle w:val="Bibliography"/>
                      <w:rPr>
                        <w:noProof/>
                      </w:rPr>
                    </w:pPr>
                    <w:r>
                      <w:rPr>
                        <w:noProof/>
                      </w:rPr>
                      <w:t xml:space="preserve">Disbray, S. (2008), </w:t>
                    </w:r>
                    <w:r>
                      <w:rPr>
                        <w:i/>
                        <w:iCs/>
                        <w:noProof/>
                      </w:rPr>
                      <w:t>More than one way to catch a frog: A study of children’s discourse in an Australian contact language (PhD thesis)</w:t>
                    </w:r>
                    <w:r>
                      <w:rPr>
                        <w:noProof/>
                      </w:rPr>
                      <w:t>, Department of Linguistics and Applied Linguistics, University of Melbourne.</w:t>
                    </w:r>
                  </w:p>
                </w:tc>
                <w:tc>
                  <w:tcPr>
                    <w:tcW w:w="600" w:type="dxa"/>
                    <w:noWrap/>
                    <w:hideMark/>
                  </w:tcPr>
                  <w:p w14:paraId="098B0031" w14:textId="77777777" w:rsidR="00307F9E" w:rsidRDefault="00307F9E">
                    <w:pPr>
                      <w:spacing w:before="100" w:beforeAutospacing="1" w:after="100" w:afterAutospacing="1"/>
                      <w:jc w:val="right"/>
                      <w:rPr>
                        <w:noProof/>
                      </w:rPr>
                    </w:pPr>
                    <w:r>
                      <w:rPr>
                        <w:noProof/>
                        <w:color w:val="000000"/>
                        <w:sz w:val="16"/>
                        <w:szCs w:val="16"/>
                      </w:rPr>
                      <w:t>[8]</w:t>
                    </w:r>
                  </w:p>
                </w:tc>
              </w:tr>
              <w:tr w:rsidR="00307F9E" w14:paraId="7BDB2E61" w14:textId="77777777">
                <w:trPr>
                  <w:divId w:val="465852184"/>
                </w:trPr>
                <w:tc>
                  <w:tcPr>
                    <w:tcW w:w="0" w:type="auto"/>
                    <w:hideMark/>
                  </w:tcPr>
                  <w:p w14:paraId="0680C75A" w14:textId="77777777" w:rsidR="00307F9E" w:rsidRDefault="00307F9E">
                    <w:pPr>
                      <w:pStyle w:val="Bibliography"/>
                      <w:rPr>
                        <w:noProof/>
                      </w:rPr>
                    </w:pPr>
                    <w:r>
                      <w:rPr>
                        <w:noProof/>
                      </w:rPr>
                      <w:t xml:space="preserve">Dixon, L. et al. (2012), “What We Know About Second Language Acquisition”, </w:t>
                    </w:r>
                    <w:r>
                      <w:rPr>
                        <w:i/>
                        <w:iCs/>
                        <w:noProof/>
                      </w:rPr>
                      <w:t>Review of Educational Research</w:t>
                    </w:r>
                    <w:r>
                      <w:rPr>
                        <w:noProof/>
                      </w:rPr>
                      <w:t xml:space="preserve">, Vol. 82/1, pp. 5-60, </w:t>
                    </w:r>
                    <w:r>
                      <w:rPr>
                        <w:noProof/>
                        <w:color w:val="0000FF"/>
                        <w:u w:val="single"/>
                      </w:rPr>
                      <w:t>http://dx.doi.org/10.3102/0034654311433587</w:t>
                    </w:r>
                    <w:r>
                      <w:rPr>
                        <w:noProof/>
                      </w:rPr>
                      <w:t>.</w:t>
                    </w:r>
                  </w:p>
                </w:tc>
                <w:tc>
                  <w:tcPr>
                    <w:tcW w:w="600" w:type="dxa"/>
                    <w:noWrap/>
                    <w:hideMark/>
                  </w:tcPr>
                  <w:p w14:paraId="156C6E96" w14:textId="77777777" w:rsidR="00307F9E" w:rsidRDefault="00307F9E">
                    <w:pPr>
                      <w:spacing w:before="100" w:beforeAutospacing="1" w:after="100" w:afterAutospacing="1"/>
                      <w:jc w:val="right"/>
                      <w:rPr>
                        <w:noProof/>
                      </w:rPr>
                    </w:pPr>
                    <w:r>
                      <w:rPr>
                        <w:noProof/>
                        <w:color w:val="000000"/>
                        <w:sz w:val="16"/>
                        <w:szCs w:val="16"/>
                      </w:rPr>
                      <w:t>[145]</w:t>
                    </w:r>
                  </w:p>
                </w:tc>
              </w:tr>
              <w:tr w:rsidR="00307F9E" w14:paraId="05691B81" w14:textId="77777777">
                <w:trPr>
                  <w:divId w:val="465852184"/>
                </w:trPr>
                <w:tc>
                  <w:tcPr>
                    <w:tcW w:w="0" w:type="auto"/>
                    <w:hideMark/>
                  </w:tcPr>
                  <w:p w14:paraId="228F40CB" w14:textId="77777777" w:rsidR="00307F9E" w:rsidRDefault="00307F9E">
                    <w:pPr>
                      <w:pStyle w:val="Bibliography"/>
                      <w:rPr>
                        <w:noProof/>
                      </w:rPr>
                    </w:pPr>
                    <w:r>
                      <w:rPr>
                        <w:noProof/>
                      </w:rPr>
                      <w:t xml:space="preserve">Dixon, S. (2017), </w:t>
                    </w:r>
                    <w:r>
                      <w:rPr>
                        <w:i/>
                        <w:iCs/>
                        <w:noProof/>
                      </w:rPr>
                      <w:t>Alyawarr children’s variable present temporal reference expression in two, closely-related languages of Central Australia (PhD thesis)</w:t>
                    </w:r>
                    <w:r>
                      <w:rPr>
                        <w:noProof/>
                      </w:rPr>
                      <w:t>, School of Literature, Languages and Linguitics, The Australian National University, Canberra.</w:t>
                    </w:r>
                  </w:p>
                </w:tc>
                <w:tc>
                  <w:tcPr>
                    <w:tcW w:w="600" w:type="dxa"/>
                    <w:noWrap/>
                    <w:hideMark/>
                  </w:tcPr>
                  <w:p w14:paraId="6CB56178" w14:textId="77777777" w:rsidR="00307F9E" w:rsidRDefault="00307F9E">
                    <w:pPr>
                      <w:spacing w:before="100" w:beforeAutospacing="1" w:after="100" w:afterAutospacing="1"/>
                      <w:jc w:val="right"/>
                      <w:rPr>
                        <w:noProof/>
                      </w:rPr>
                    </w:pPr>
                    <w:r>
                      <w:rPr>
                        <w:noProof/>
                        <w:color w:val="000000"/>
                        <w:sz w:val="16"/>
                        <w:szCs w:val="16"/>
                      </w:rPr>
                      <w:t>[11]</w:t>
                    </w:r>
                  </w:p>
                </w:tc>
              </w:tr>
              <w:tr w:rsidR="00307F9E" w14:paraId="7C30384D" w14:textId="77777777">
                <w:trPr>
                  <w:divId w:val="465852184"/>
                </w:trPr>
                <w:tc>
                  <w:tcPr>
                    <w:tcW w:w="0" w:type="auto"/>
                    <w:hideMark/>
                  </w:tcPr>
                  <w:p w14:paraId="2C50CE59" w14:textId="77777777" w:rsidR="00307F9E" w:rsidRDefault="00307F9E">
                    <w:pPr>
                      <w:pStyle w:val="Bibliography"/>
                      <w:rPr>
                        <w:noProof/>
                      </w:rPr>
                    </w:pPr>
                    <w:r>
                      <w:rPr>
                        <w:noProof/>
                      </w:rPr>
                      <w:t xml:space="preserve">Dutcher, J. (2019), </w:t>
                    </w:r>
                    <w:r>
                      <w:rPr>
                        <w:i/>
                        <w:iCs/>
                        <w:noProof/>
                      </w:rPr>
                      <w:t>Jeremy Dutcher discusses revitalizing traditional language and making music with Shelagh Rogers, Live from Pacific Opera Victoria’s Baumann Center (transcribed by Barbra Meeks)</w:t>
                    </w:r>
                    <w:r>
                      <w:rPr>
                        <w:noProof/>
                      </w:rPr>
                      <w:t xml:space="preserve">, </w:t>
                    </w:r>
                    <w:r>
                      <w:rPr>
                        <w:noProof/>
                        <w:color w:val="0000FF"/>
                        <w:u w:val="single"/>
                      </w:rPr>
                      <w:t>https://www.youtube.com/watch?v=-PUK4M8Hv_g</w:t>
                    </w:r>
                    <w:r>
                      <w:rPr>
                        <w:noProof/>
                      </w:rPr>
                      <w:t>.</w:t>
                    </w:r>
                  </w:p>
                </w:tc>
                <w:tc>
                  <w:tcPr>
                    <w:tcW w:w="600" w:type="dxa"/>
                    <w:noWrap/>
                    <w:hideMark/>
                  </w:tcPr>
                  <w:p w14:paraId="330905CC" w14:textId="77777777" w:rsidR="00307F9E" w:rsidRDefault="00307F9E">
                    <w:pPr>
                      <w:spacing w:before="100" w:beforeAutospacing="1" w:after="100" w:afterAutospacing="1"/>
                      <w:jc w:val="right"/>
                      <w:rPr>
                        <w:noProof/>
                      </w:rPr>
                    </w:pPr>
                    <w:r>
                      <w:rPr>
                        <w:noProof/>
                        <w:color w:val="000000"/>
                        <w:sz w:val="16"/>
                        <w:szCs w:val="16"/>
                      </w:rPr>
                      <w:t>[37]</w:t>
                    </w:r>
                  </w:p>
                </w:tc>
              </w:tr>
              <w:tr w:rsidR="00307F9E" w14:paraId="4689D7C6" w14:textId="77777777">
                <w:trPr>
                  <w:divId w:val="465852184"/>
                </w:trPr>
                <w:tc>
                  <w:tcPr>
                    <w:tcW w:w="0" w:type="auto"/>
                    <w:hideMark/>
                  </w:tcPr>
                  <w:p w14:paraId="60ECCFF7" w14:textId="77777777" w:rsidR="00307F9E" w:rsidRDefault="00307F9E">
                    <w:pPr>
                      <w:pStyle w:val="Bibliography"/>
                      <w:rPr>
                        <w:noProof/>
                      </w:rPr>
                    </w:pPr>
                    <w:r>
                      <w:rPr>
                        <w:noProof/>
                      </w:rPr>
                      <w:t xml:space="preserve">Eades, D. (2014), “Aboriginal English”, in Koch, H. and R. Nordlinger (eds.), </w:t>
                    </w:r>
                    <w:r>
                      <w:rPr>
                        <w:i/>
                        <w:iCs/>
                        <w:noProof/>
                      </w:rPr>
                      <w:t>The languages and linguistics of Australia. A comprehensive guide</w:t>
                    </w:r>
                    <w:r>
                      <w:rPr>
                        <w:noProof/>
                      </w:rPr>
                      <w:t>, Mouton de Gruyter, Berlin/Boston.</w:t>
                    </w:r>
                  </w:p>
                </w:tc>
                <w:tc>
                  <w:tcPr>
                    <w:tcW w:w="600" w:type="dxa"/>
                    <w:noWrap/>
                    <w:hideMark/>
                  </w:tcPr>
                  <w:p w14:paraId="77F32971" w14:textId="77777777" w:rsidR="00307F9E" w:rsidRDefault="00307F9E">
                    <w:pPr>
                      <w:spacing w:before="100" w:beforeAutospacing="1" w:after="100" w:afterAutospacing="1"/>
                      <w:jc w:val="right"/>
                      <w:rPr>
                        <w:noProof/>
                      </w:rPr>
                    </w:pPr>
                    <w:r>
                      <w:rPr>
                        <w:noProof/>
                        <w:color w:val="000000"/>
                        <w:sz w:val="16"/>
                        <w:szCs w:val="16"/>
                      </w:rPr>
                      <w:t>[169]</w:t>
                    </w:r>
                  </w:p>
                </w:tc>
              </w:tr>
              <w:tr w:rsidR="00307F9E" w14:paraId="59D3B62E" w14:textId="77777777">
                <w:trPr>
                  <w:divId w:val="465852184"/>
                </w:trPr>
                <w:tc>
                  <w:tcPr>
                    <w:tcW w:w="0" w:type="auto"/>
                    <w:hideMark/>
                  </w:tcPr>
                  <w:p w14:paraId="3127AD5C" w14:textId="77777777" w:rsidR="00307F9E" w:rsidRDefault="00307F9E">
                    <w:pPr>
                      <w:pStyle w:val="Bibliography"/>
                      <w:rPr>
                        <w:noProof/>
                      </w:rPr>
                    </w:pPr>
                    <w:r>
                      <w:rPr>
                        <w:noProof/>
                      </w:rPr>
                      <w:t xml:space="preserve">Education and Early Childhood Development (2018), </w:t>
                    </w:r>
                    <w:r>
                      <w:rPr>
                        <w:i/>
                        <w:iCs/>
                        <w:noProof/>
                      </w:rPr>
                      <w:t>Education Action Plan: The way forward</w:t>
                    </w:r>
                    <w:r>
                      <w:rPr>
                        <w:noProof/>
                      </w:rPr>
                      <w:t>, Government of Newfoundland and Labrador, St John’s.</w:t>
                    </w:r>
                  </w:p>
                </w:tc>
                <w:tc>
                  <w:tcPr>
                    <w:tcW w:w="600" w:type="dxa"/>
                    <w:noWrap/>
                    <w:hideMark/>
                  </w:tcPr>
                  <w:p w14:paraId="5A326183" w14:textId="77777777" w:rsidR="00307F9E" w:rsidRDefault="00307F9E">
                    <w:pPr>
                      <w:spacing w:before="100" w:beforeAutospacing="1" w:after="100" w:afterAutospacing="1"/>
                      <w:jc w:val="right"/>
                      <w:rPr>
                        <w:noProof/>
                      </w:rPr>
                    </w:pPr>
                    <w:r>
                      <w:rPr>
                        <w:noProof/>
                        <w:color w:val="000000"/>
                        <w:sz w:val="16"/>
                        <w:szCs w:val="16"/>
                      </w:rPr>
                      <w:t>[102]</w:t>
                    </w:r>
                  </w:p>
                </w:tc>
              </w:tr>
              <w:tr w:rsidR="00307F9E" w14:paraId="471E5FAA" w14:textId="77777777">
                <w:trPr>
                  <w:divId w:val="465852184"/>
                </w:trPr>
                <w:tc>
                  <w:tcPr>
                    <w:tcW w:w="0" w:type="auto"/>
                    <w:hideMark/>
                  </w:tcPr>
                  <w:p w14:paraId="2A00E984" w14:textId="77777777" w:rsidR="00307F9E" w:rsidRDefault="00307F9E">
                    <w:pPr>
                      <w:pStyle w:val="Bibliography"/>
                      <w:rPr>
                        <w:noProof/>
                      </w:rPr>
                    </w:pPr>
                    <w:r>
                      <w:rPr>
                        <w:noProof/>
                      </w:rPr>
                      <w:t xml:space="preserve">Education Counts (n.d.), </w:t>
                    </w:r>
                    <w:r>
                      <w:rPr>
                        <w:i/>
                        <w:iCs/>
                        <w:noProof/>
                      </w:rPr>
                      <w:t>Quick Stats about Māori Education</w:t>
                    </w:r>
                    <w:r>
                      <w:rPr>
                        <w:noProof/>
                      </w:rPr>
                      <w:t>.</w:t>
                    </w:r>
                  </w:p>
                </w:tc>
                <w:tc>
                  <w:tcPr>
                    <w:tcW w:w="600" w:type="dxa"/>
                    <w:noWrap/>
                    <w:hideMark/>
                  </w:tcPr>
                  <w:p w14:paraId="000B2886" w14:textId="77777777" w:rsidR="00307F9E" w:rsidRDefault="00307F9E">
                    <w:pPr>
                      <w:spacing w:before="100" w:beforeAutospacing="1" w:after="100" w:afterAutospacing="1"/>
                      <w:jc w:val="right"/>
                      <w:rPr>
                        <w:noProof/>
                      </w:rPr>
                    </w:pPr>
                    <w:r>
                      <w:rPr>
                        <w:noProof/>
                        <w:color w:val="000000"/>
                        <w:sz w:val="16"/>
                        <w:szCs w:val="16"/>
                      </w:rPr>
                      <w:t>[55]</w:t>
                    </w:r>
                  </w:p>
                </w:tc>
              </w:tr>
              <w:tr w:rsidR="00307F9E" w14:paraId="061C0EF8" w14:textId="77777777">
                <w:trPr>
                  <w:divId w:val="465852184"/>
                </w:trPr>
                <w:tc>
                  <w:tcPr>
                    <w:tcW w:w="0" w:type="auto"/>
                    <w:hideMark/>
                  </w:tcPr>
                  <w:p w14:paraId="7348E56E" w14:textId="77777777" w:rsidR="00307F9E" w:rsidRDefault="00307F9E">
                    <w:pPr>
                      <w:pStyle w:val="Bibliography"/>
                      <w:rPr>
                        <w:noProof/>
                      </w:rPr>
                    </w:pPr>
                    <w:r>
                      <w:rPr>
                        <w:noProof/>
                      </w:rPr>
                      <w:t xml:space="preserve">Fayant, R. and A. Sterzuk (2018), “Michif language revitalization within a post-secondary context”, </w:t>
                    </w:r>
                    <w:r>
                      <w:rPr>
                        <w:i/>
                        <w:iCs/>
                        <w:noProof/>
                      </w:rPr>
                      <w:t>Canadian Diversity</w:t>
                    </w:r>
                    <w:r>
                      <w:rPr>
                        <w:noProof/>
                      </w:rPr>
                      <w:t>, Vol. 15, pp. 18-22.</w:t>
                    </w:r>
                  </w:p>
                </w:tc>
                <w:tc>
                  <w:tcPr>
                    <w:tcW w:w="600" w:type="dxa"/>
                    <w:noWrap/>
                    <w:hideMark/>
                  </w:tcPr>
                  <w:p w14:paraId="4E96B149" w14:textId="77777777" w:rsidR="00307F9E" w:rsidRDefault="00307F9E">
                    <w:pPr>
                      <w:spacing w:before="100" w:beforeAutospacing="1" w:after="100" w:afterAutospacing="1"/>
                      <w:jc w:val="right"/>
                      <w:rPr>
                        <w:noProof/>
                      </w:rPr>
                    </w:pPr>
                    <w:r>
                      <w:rPr>
                        <w:noProof/>
                        <w:color w:val="000000"/>
                        <w:sz w:val="16"/>
                        <w:szCs w:val="16"/>
                      </w:rPr>
                      <w:t>[39]</w:t>
                    </w:r>
                  </w:p>
                </w:tc>
              </w:tr>
              <w:tr w:rsidR="00307F9E" w14:paraId="066A79C4" w14:textId="77777777">
                <w:trPr>
                  <w:divId w:val="465852184"/>
                </w:trPr>
                <w:tc>
                  <w:tcPr>
                    <w:tcW w:w="0" w:type="auto"/>
                    <w:hideMark/>
                  </w:tcPr>
                  <w:p w14:paraId="7D770493" w14:textId="77777777" w:rsidR="00307F9E" w:rsidRDefault="00307F9E">
                    <w:pPr>
                      <w:pStyle w:val="Bibliography"/>
                      <w:rPr>
                        <w:noProof/>
                      </w:rPr>
                    </w:pPr>
                    <w:r>
                      <w:rPr>
                        <w:noProof/>
                      </w:rPr>
                      <w:t xml:space="preserve">First Languages Australia (2018), </w:t>
                    </w:r>
                    <w:r>
                      <w:rPr>
                        <w:i/>
                        <w:iCs/>
                        <w:noProof/>
                      </w:rPr>
                      <w:t>Nintiringanyi: National Aboriginal and Torres Strait Islander Language Teaching and Employment Strategy</w:t>
                    </w:r>
                    <w:r>
                      <w:rPr>
                        <w:noProof/>
                      </w:rPr>
                      <w:t xml:space="preserve">, First Languages, Australia, </w:t>
                    </w:r>
                    <w:r>
                      <w:rPr>
                        <w:noProof/>
                        <w:color w:val="0000FF"/>
                        <w:u w:val="single"/>
                      </w:rPr>
                      <w:lastRenderedPageBreak/>
                      <w:t>http://www.firstlanguages.org.au/resources/nintiringanyi</w:t>
                    </w:r>
                    <w:r>
                      <w:rPr>
                        <w:noProof/>
                      </w:rPr>
                      <w:t xml:space="preserve"> (accessed on 4 October 2021).</w:t>
                    </w:r>
                  </w:p>
                </w:tc>
                <w:tc>
                  <w:tcPr>
                    <w:tcW w:w="600" w:type="dxa"/>
                    <w:noWrap/>
                    <w:hideMark/>
                  </w:tcPr>
                  <w:p w14:paraId="59F77C5A" w14:textId="77777777" w:rsidR="00307F9E" w:rsidRDefault="00307F9E">
                    <w:pPr>
                      <w:spacing w:before="100" w:beforeAutospacing="1" w:after="100" w:afterAutospacing="1"/>
                      <w:jc w:val="right"/>
                      <w:rPr>
                        <w:noProof/>
                      </w:rPr>
                    </w:pPr>
                    <w:r>
                      <w:rPr>
                        <w:noProof/>
                        <w:color w:val="000000"/>
                        <w:sz w:val="16"/>
                        <w:szCs w:val="16"/>
                      </w:rPr>
                      <w:lastRenderedPageBreak/>
                      <w:t>[78]</w:t>
                    </w:r>
                  </w:p>
                </w:tc>
              </w:tr>
              <w:tr w:rsidR="00307F9E" w14:paraId="34904F22" w14:textId="77777777">
                <w:trPr>
                  <w:divId w:val="465852184"/>
                </w:trPr>
                <w:tc>
                  <w:tcPr>
                    <w:tcW w:w="0" w:type="auto"/>
                    <w:hideMark/>
                  </w:tcPr>
                  <w:p w14:paraId="3DCE0B5A" w14:textId="77777777" w:rsidR="00307F9E" w:rsidRDefault="00307F9E">
                    <w:pPr>
                      <w:pStyle w:val="Bibliography"/>
                      <w:rPr>
                        <w:noProof/>
                      </w:rPr>
                    </w:pPr>
                    <w:r>
                      <w:rPr>
                        <w:noProof/>
                      </w:rPr>
                      <w:t xml:space="preserve">Flege, J., G. Yeni-Komshian and S. Liu (1999), “Age Constraints on Second-Language Acquisition”, </w:t>
                    </w:r>
                    <w:r>
                      <w:rPr>
                        <w:i/>
                        <w:iCs/>
                        <w:noProof/>
                      </w:rPr>
                      <w:t>Journal of Memory and Language</w:t>
                    </w:r>
                    <w:r>
                      <w:rPr>
                        <w:noProof/>
                      </w:rPr>
                      <w:t xml:space="preserve">, Vol. 41/1, pp. 78-104, </w:t>
                    </w:r>
                    <w:r>
                      <w:rPr>
                        <w:noProof/>
                        <w:color w:val="0000FF"/>
                        <w:u w:val="single"/>
                      </w:rPr>
                      <w:t>http://dx.doi.org/10.1006/jmla.1999.2638</w:t>
                    </w:r>
                    <w:r>
                      <w:rPr>
                        <w:noProof/>
                      </w:rPr>
                      <w:t>.</w:t>
                    </w:r>
                  </w:p>
                </w:tc>
                <w:tc>
                  <w:tcPr>
                    <w:tcW w:w="600" w:type="dxa"/>
                    <w:noWrap/>
                    <w:hideMark/>
                  </w:tcPr>
                  <w:p w14:paraId="2496498C" w14:textId="77777777" w:rsidR="00307F9E" w:rsidRDefault="00307F9E">
                    <w:pPr>
                      <w:spacing w:before="100" w:beforeAutospacing="1" w:after="100" w:afterAutospacing="1"/>
                      <w:jc w:val="right"/>
                      <w:rPr>
                        <w:noProof/>
                      </w:rPr>
                    </w:pPr>
                    <w:r>
                      <w:rPr>
                        <w:noProof/>
                        <w:color w:val="000000"/>
                        <w:sz w:val="16"/>
                        <w:szCs w:val="16"/>
                      </w:rPr>
                      <w:t>[147]</w:t>
                    </w:r>
                  </w:p>
                </w:tc>
              </w:tr>
              <w:tr w:rsidR="00307F9E" w14:paraId="2493A782" w14:textId="77777777">
                <w:trPr>
                  <w:divId w:val="465852184"/>
                </w:trPr>
                <w:tc>
                  <w:tcPr>
                    <w:tcW w:w="0" w:type="auto"/>
                    <w:hideMark/>
                  </w:tcPr>
                  <w:p w14:paraId="1F38ABF0" w14:textId="77777777" w:rsidR="00307F9E" w:rsidRDefault="00307F9E">
                    <w:pPr>
                      <w:pStyle w:val="Bibliography"/>
                      <w:rPr>
                        <w:noProof/>
                      </w:rPr>
                    </w:pPr>
                    <w:r>
                      <w:rPr>
                        <w:noProof/>
                      </w:rPr>
                      <w:t xml:space="preserve">Garcia, O. and L. Bartlett (2007), “A speech community model of bilingual education: Educating Latino newcomers in the USA”, </w:t>
                    </w:r>
                    <w:r>
                      <w:rPr>
                        <w:i/>
                        <w:iCs/>
                        <w:noProof/>
                      </w:rPr>
                      <w:t>International Journal of Bilingual Education and Bilingualism</w:t>
                    </w:r>
                    <w:r>
                      <w:rPr>
                        <w:noProof/>
                      </w:rPr>
                      <w:t>, Vol. 10.</w:t>
                    </w:r>
                  </w:p>
                </w:tc>
                <w:tc>
                  <w:tcPr>
                    <w:tcW w:w="600" w:type="dxa"/>
                    <w:noWrap/>
                    <w:hideMark/>
                  </w:tcPr>
                  <w:p w14:paraId="5C28CED5" w14:textId="77777777" w:rsidR="00307F9E" w:rsidRDefault="00307F9E">
                    <w:pPr>
                      <w:spacing w:before="100" w:beforeAutospacing="1" w:after="100" w:afterAutospacing="1"/>
                      <w:jc w:val="right"/>
                      <w:rPr>
                        <w:noProof/>
                      </w:rPr>
                    </w:pPr>
                    <w:r>
                      <w:rPr>
                        <w:noProof/>
                        <w:color w:val="000000"/>
                        <w:sz w:val="16"/>
                        <w:szCs w:val="16"/>
                      </w:rPr>
                      <w:t>[125]</w:t>
                    </w:r>
                  </w:p>
                </w:tc>
              </w:tr>
              <w:tr w:rsidR="00307F9E" w14:paraId="0A5E64F4" w14:textId="77777777">
                <w:trPr>
                  <w:divId w:val="465852184"/>
                </w:trPr>
                <w:tc>
                  <w:tcPr>
                    <w:tcW w:w="0" w:type="auto"/>
                    <w:hideMark/>
                  </w:tcPr>
                  <w:p w14:paraId="4F8DEFCE" w14:textId="77777777" w:rsidR="00307F9E" w:rsidRDefault="00307F9E">
                    <w:pPr>
                      <w:pStyle w:val="Bibliography"/>
                      <w:rPr>
                        <w:noProof/>
                      </w:rPr>
                    </w:pPr>
                    <w:r>
                      <w:rPr>
                        <w:noProof/>
                      </w:rPr>
                      <w:t xml:space="preserve">García, O. and L. Wei (2014), “Translanguaging and Education”, in García, O. and L. Wei (eds.), </w:t>
                    </w:r>
                    <w:r>
                      <w:rPr>
                        <w:i/>
                        <w:iCs/>
                        <w:noProof/>
                      </w:rPr>
                      <w:t>Translanguaging: Language, Bilingualism and Education</w:t>
                    </w:r>
                    <w:r>
                      <w:rPr>
                        <w:noProof/>
                      </w:rPr>
                      <w:t>, Palgrave, Macmillan, UK.</w:t>
                    </w:r>
                  </w:p>
                </w:tc>
                <w:tc>
                  <w:tcPr>
                    <w:tcW w:w="600" w:type="dxa"/>
                    <w:noWrap/>
                    <w:hideMark/>
                  </w:tcPr>
                  <w:p w14:paraId="133599EA" w14:textId="77777777" w:rsidR="00307F9E" w:rsidRDefault="00307F9E">
                    <w:pPr>
                      <w:spacing w:before="100" w:beforeAutospacing="1" w:after="100" w:afterAutospacing="1"/>
                      <w:jc w:val="right"/>
                      <w:rPr>
                        <w:noProof/>
                      </w:rPr>
                    </w:pPr>
                    <w:r>
                      <w:rPr>
                        <w:noProof/>
                        <w:color w:val="000000"/>
                        <w:sz w:val="16"/>
                        <w:szCs w:val="16"/>
                      </w:rPr>
                      <w:t>[128]</w:t>
                    </w:r>
                  </w:p>
                </w:tc>
              </w:tr>
              <w:tr w:rsidR="00307F9E" w14:paraId="49BDCA0C" w14:textId="77777777">
                <w:trPr>
                  <w:divId w:val="465852184"/>
                </w:trPr>
                <w:tc>
                  <w:tcPr>
                    <w:tcW w:w="0" w:type="auto"/>
                    <w:hideMark/>
                  </w:tcPr>
                  <w:p w14:paraId="625387EE" w14:textId="77777777" w:rsidR="00307F9E" w:rsidRDefault="00307F9E">
                    <w:pPr>
                      <w:pStyle w:val="Bibliography"/>
                      <w:rPr>
                        <w:noProof/>
                      </w:rPr>
                    </w:pPr>
                    <w:r>
                      <w:rPr>
                        <w:noProof/>
                      </w:rPr>
                      <w:t xml:space="preserve">Genesee, F. (ed.) (2006), </w:t>
                    </w:r>
                    <w:r>
                      <w:rPr>
                        <w:i/>
                        <w:iCs/>
                        <w:noProof/>
                      </w:rPr>
                      <w:t>Crosslinguistic and crossmodal issues</w:t>
                    </w:r>
                    <w:r>
                      <w:rPr>
                        <w:noProof/>
                      </w:rPr>
                      <w:t>, Cambridge University Press, New York.</w:t>
                    </w:r>
                  </w:p>
                </w:tc>
                <w:tc>
                  <w:tcPr>
                    <w:tcW w:w="600" w:type="dxa"/>
                    <w:noWrap/>
                    <w:hideMark/>
                  </w:tcPr>
                  <w:p w14:paraId="3992A481" w14:textId="77777777" w:rsidR="00307F9E" w:rsidRDefault="00307F9E">
                    <w:pPr>
                      <w:spacing w:before="100" w:beforeAutospacing="1" w:after="100" w:afterAutospacing="1"/>
                      <w:jc w:val="right"/>
                      <w:rPr>
                        <w:noProof/>
                      </w:rPr>
                    </w:pPr>
                    <w:r>
                      <w:rPr>
                        <w:noProof/>
                        <w:color w:val="000000"/>
                        <w:sz w:val="16"/>
                        <w:szCs w:val="16"/>
                      </w:rPr>
                      <w:t>[154]</w:t>
                    </w:r>
                  </w:p>
                </w:tc>
              </w:tr>
              <w:tr w:rsidR="00307F9E" w14:paraId="34915CFD" w14:textId="77777777">
                <w:trPr>
                  <w:divId w:val="465852184"/>
                </w:trPr>
                <w:tc>
                  <w:tcPr>
                    <w:tcW w:w="0" w:type="auto"/>
                    <w:hideMark/>
                  </w:tcPr>
                  <w:p w14:paraId="10FCF864" w14:textId="77777777" w:rsidR="00307F9E" w:rsidRDefault="00307F9E">
                    <w:pPr>
                      <w:pStyle w:val="Bibliography"/>
                      <w:rPr>
                        <w:noProof/>
                      </w:rPr>
                    </w:pPr>
                    <w:r>
                      <w:rPr>
                        <w:noProof/>
                      </w:rPr>
                      <w:t xml:space="preserve">Genesee, F. et al. (2006), “Synthesis: Cross-linguistic relationships”, in August, D. and D. Shanahan (eds.), </w:t>
                    </w:r>
                    <w:r>
                      <w:rPr>
                        <w:i/>
                        <w:iCs/>
                        <w:noProof/>
                      </w:rPr>
                      <w:t>Developing literacy in second-language learners: Report of the National Literacy Panel on Language-Minority Children and Youth</w:t>
                    </w:r>
                    <w:r>
                      <w:rPr>
                        <w:noProof/>
                      </w:rPr>
                      <w:t>, Lawrence Erlbaum Associates Publishers.</w:t>
                    </w:r>
                  </w:p>
                </w:tc>
                <w:tc>
                  <w:tcPr>
                    <w:tcW w:w="600" w:type="dxa"/>
                    <w:noWrap/>
                    <w:hideMark/>
                  </w:tcPr>
                  <w:p w14:paraId="53D1D97C" w14:textId="77777777" w:rsidR="00307F9E" w:rsidRDefault="00307F9E">
                    <w:pPr>
                      <w:spacing w:before="100" w:beforeAutospacing="1" w:after="100" w:afterAutospacing="1"/>
                      <w:jc w:val="right"/>
                      <w:rPr>
                        <w:noProof/>
                      </w:rPr>
                    </w:pPr>
                    <w:r>
                      <w:rPr>
                        <w:noProof/>
                        <w:color w:val="000000"/>
                        <w:sz w:val="16"/>
                        <w:szCs w:val="16"/>
                      </w:rPr>
                      <w:t>[153]</w:t>
                    </w:r>
                  </w:p>
                </w:tc>
              </w:tr>
              <w:tr w:rsidR="00307F9E" w14:paraId="4302DAF6" w14:textId="77777777">
                <w:trPr>
                  <w:divId w:val="465852184"/>
                </w:trPr>
                <w:tc>
                  <w:tcPr>
                    <w:tcW w:w="0" w:type="auto"/>
                    <w:hideMark/>
                  </w:tcPr>
                  <w:p w14:paraId="47A921D0" w14:textId="77777777" w:rsidR="00307F9E" w:rsidRDefault="00307F9E">
                    <w:pPr>
                      <w:pStyle w:val="Bibliography"/>
                      <w:rPr>
                        <w:noProof/>
                      </w:rPr>
                    </w:pPr>
                    <w:r>
                      <w:rPr>
                        <w:noProof/>
                      </w:rPr>
                      <w:t xml:space="preserve">Genesee, F. and K. Lindholm-Leary (2012), “The education of English language learners”, in Harris, K. et al. (eds.), </w:t>
                    </w:r>
                    <w:r>
                      <w:rPr>
                        <w:i/>
                        <w:iCs/>
                        <w:noProof/>
                      </w:rPr>
                      <w:t>APA educational psychology handbook, Vol 3: Application to learning and teaching</w:t>
                    </w:r>
                    <w:r>
                      <w:rPr>
                        <w:noProof/>
                      </w:rPr>
                      <w:t>, American Psychological Association, Washington DC.</w:t>
                    </w:r>
                  </w:p>
                </w:tc>
                <w:tc>
                  <w:tcPr>
                    <w:tcW w:w="600" w:type="dxa"/>
                    <w:noWrap/>
                    <w:hideMark/>
                  </w:tcPr>
                  <w:p w14:paraId="3E83027A" w14:textId="77777777" w:rsidR="00307F9E" w:rsidRDefault="00307F9E">
                    <w:pPr>
                      <w:spacing w:before="100" w:beforeAutospacing="1" w:after="100" w:afterAutospacing="1"/>
                      <w:jc w:val="right"/>
                      <w:rPr>
                        <w:noProof/>
                      </w:rPr>
                    </w:pPr>
                    <w:r>
                      <w:rPr>
                        <w:noProof/>
                        <w:color w:val="000000"/>
                        <w:sz w:val="16"/>
                        <w:szCs w:val="16"/>
                      </w:rPr>
                      <w:t>[127]</w:t>
                    </w:r>
                  </w:p>
                </w:tc>
              </w:tr>
              <w:tr w:rsidR="00307F9E" w14:paraId="0E418D29" w14:textId="77777777">
                <w:trPr>
                  <w:divId w:val="465852184"/>
                </w:trPr>
                <w:tc>
                  <w:tcPr>
                    <w:tcW w:w="0" w:type="auto"/>
                    <w:hideMark/>
                  </w:tcPr>
                  <w:p w14:paraId="5F96E4A2" w14:textId="77777777" w:rsidR="00307F9E" w:rsidRDefault="00307F9E">
                    <w:pPr>
                      <w:pStyle w:val="Bibliography"/>
                      <w:rPr>
                        <w:noProof/>
                      </w:rPr>
                    </w:pPr>
                    <w:r>
                      <w:rPr>
                        <w:noProof/>
                      </w:rPr>
                      <w:t xml:space="preserve">Gildersleeve-Neumann, C. (2015), </w:t>
                    </w:r>
                    <w:r>
                      <w:rPr>
                        <w:i/>
                        <w:iCs/>
                        <w:noProof/>
                      </w:rPr>
                      <w:t>Portland State Multicultural Topics in Communications Sciences and Disorders General Overview of Bilingualism</w:t>
                    </w:r>
                    <w:r>
                      <w:rPr>
                        <w:noProof/>
                      </w:rPr>
                      <w:t>.</w:t>
                    </w:r>
                  </w:p>
                </w:tc>
                <w:tc>
                  <w:tcPr>
                    <w:tcW w:w="600" w:type="dxa"/>
                    <w:noWrap/>
                    <w:hideMark/>
                  </w:tcPr>
                  <w:p w14:paraId="3ACE0FD1" w14:textId="77777777" w:rsidR="00307F9E" w:rsidRDefault="00307F9E">
                    <w:pPr>
                      <w:spacing w:before="100" w:beforeAutospacing="1" w:after="100" w:afterAutospacing="1"/>
                      <w:jc w:val="right"/>
                      <w:rPr>
                        <w:noProof/>
                      </w:rPr>
                    </w:pPr>
                    <w:r>
                      <w:rPr>
                        <w:noProof/>
                        <w:color w:val="000000"/>
                        <w:sz w:val="16"/>
                        <w:szCs w:val="16"/>
                      </w:rPr>
                      <w:t>[157]</w:t>
                    </w:r>
                  </w:p>
                </w:tc>
              </w:tr>
              <w:tr w:rsidR="00307F9E" w14:paraId="65FCD5C7" w14:textId="77777777">
                <w:trPr>
                  <w:divId w:val="465852184"/>
                </w:trPr>
                <w:tc>
                  <w:tcPr>
                    <w:tcW w:w="0" w:type="auto"/>
                    <w:hideMark/>
                  </w:tcPr>
                  <w:p w14:paraId="03D11545" w14:textId="77777777" w:rsidR="00307F9E" w:rsidRDefault="00307F9E">
                    <w:pPr>
                      <w:pStyle w:val="Bibliography"/>
                      <w:rPr>
                        <w:noProof/>
                      </w:rPr>
                    </w:pPr>
                    <w:r>
                      <w:rPr>
                        <w:noProof/>
                      </w:rPr>
                      <w:t xml:space="preserve">Government of British Columbia (1997, revised 2004), </w:t>
                    </w:r>
                    <w:r>
                      <w:rPr>
                        <w:i/>
                        <w:iCs/>
                        <w:noProof/>
                      </w:rPr>
                      <w:t>Language Education Policy</w:t>
                    </w:r>
                    <w:r>
                      <w:rPr>
                        <w:noProof/>
                      </w:rPr>
                      <w:t xml:space="preserve">, </w:t>
                    </w:r>
                    <w:r>
                      <w:rPr>
                        <w:noProof/>
                        <w:color w:val="0000FF"/>
                        <w:u w:val="single"/>
                      </w:rPr>
                      <w:t>https://www2.gov.bc.ca/gov/content/education-training/k-12/administration/legislation-policy/public-schools/language-education-policy</w:t>
                    </w:r>
                    <w:r>
                      <w:rPr>
                        <w:noProof/>
                      </w:rPr>
                      <w:t xml:space="preserve"> (accessed on 4 October 2021).</w:t>
                    </w:r>
                  </w:p>
                </w:tc>
                <w:tc>
                  <w:tcPr>
                    <w:tcW w:w="600" w:type="dxa"/>
                    <w:noWrap/>
                    <w:hideMark/>
                  </w:tcPr>
                  <w:p w14:paraId="0729B476" w14:textId="77777777" w:rsidR="00307F9E" w:rsidRDefault="00307F9E">
                    <w:pPr>
                      <w:spacing w:before="100" w:beforeAutospacing="1" w:after="100" w:afterAutospacing="1"/>
                      <w:jc w:val="right"/>
                      <w:rPr>
                        <w:noProof/>
                      </w:rPr>
                    </w:pPr>
                    <w:r>
                      <w:rPr>
                        <w:noProof/>
                        <w:color w:val="000000"/>
                        <w:sz w:val="16"/>
                        <w:szCs w:val="16"/>
                      </w:rPr>
                      <w:t>[91]</w:t>
                    </w:r>
                  </w:p>
                </w:tc>
              </w:tr>
              <w:tr w:rsidR="00307F9E" w14:paraId="11026518" w14:textId="77777777">
                <w:trPr>
                  <w:divId w:val="465852184"/>
                </w:trPr>
                <w:tc>
                  <w:tcPr>
                    <w:tcW w:w="0" w:type="auto"/>
                    <w:hideMark/>
                  </w:tcPr>
                  <w:p w14:paraId="2FA21500" w14:textId="77777777" w:rsidR="00307F9E" w:rsidRDefault="00307F9E">
                    <w:pPr>
                      <w:pStyle w:val="Bibliography"/>
                      <w:rPr>
                        <w:noProof/>
                      </w:rPr>
                    </w:pPr>
                    <w:r>
                      <w:rPr>
                        <w:noProof/>
                      </w:rPr>
                      <w:t xml:space="preserve">Government of Canada (2018), </w:t>
                    </w:r>
                    <w:r>
                      <w:rPr>
                        <w:i/>
                        <w:iCs/>
                        <w:noProof/>
                      </w:rPr>
                      <w:t>Indigenous Early Learning and Child Care framework</w:t>
                    </w:r>
                    <w:r>
                      <w:rPr>
                        <w:noProof/>
                      </w:rPr>
                      <w:t xml:space="preserve">, </w:t>
                    </w:r>
                    <w:r>
                      <w:rPr>
                        <w:noProof/>
                        <w:color w:val="0000FF"/>
                        <w:u w:val="single"/>
                      </w:rPr>
                      <w:t>https://www.canada.ca/en/employment-social-development/programs/indigenous-early-learning/2018-framework.html</w:t>
                    </w:r>
                    <w:r>
                      <w:rPr>
                        <w:noProof/>
                      </w:rPr>
                      <w:t xml:space="preserve"> (accessed on 4 October 2021).</w:t>
                    </w:r>
                  </w:p>
                </w:tc>
                <w:tc>
                  <w:tcPr>
                    <w:tcW w:w="600" w:type="dxa"/>
                    <w:noWrap/>
                    <w:hideMark/>
                  </w:tcPr>
                  <w:p w14:paraId="780C7571" w14:textId="77777777" w:rsidR="00307F9E" w:rsidRDefault="00307F9E">
                    <w:pPr>
                      <w:spacing w:before="100" w:beforeAutospacing="1" w:after="100" w:afterAutospacing="1"/>
                      <w:jc w:val="right"/>
                      <w:rPr>
                        <w:noProof/>
                      </w:rPr>
                    </w:pPr>
                    <w:r>
                      <w:rPr>
                        <w:noProof/>
                        <w:color w:val="000000"/>
                        <w:sz w:val="16"/>
                        <w:szCs w:val="16"/>
                      </w:rPr>
                      <w:t>[88]</w:t>
                    </w:r>
                  </w:p>
                </w:tc>
              </w:tr>
              <w:tr w:rsidR="00307F9E" w14:paraId="15A15A71" w14:textId="77777777">
                <w:trPr>
                  <w:divId w:val="465852184"/>
                </w:trPr>
                <w:tc>
                  <w:tcPr>
                    <w:tcW w:w="0" w:type="auto"/>
                    <w:hideMark/>
                  </w:tcPr>
                  <w:p w14:paraId="23ECF2B5" w14:textId="77777777" w:rsidR="00307F9E" w:rsidRDefault="00307F9E">
                    <w:pPr>
                      <w:pStyle w:val="Bibliography"/>
                      <w:rPr>
                        <w:noProof/>
                      </w:rPr>
                    </w:pPr>
                    <w:r>
                      <w:rPr>
                        <w:noProof/>
                      </w:rPr>
                      <w:t xml:space="preserve">Government of Northwest Territories (2018), </w:t>
                    </w:r>
                    <w:r>
                      <w:rPr>
                        <w:i/>
                        <w:iCs/>
                        <w:noProof/>
                      </w:rPr>
                      <w:t>Doing, knowing, seeing, living, believing: NWT Aboriginal languages framework: A shared responsibility</w:t>
                    </w:r>
                    <w:r>
                      <w:rPr>
                        <w:noProof/>
                      </w:rPr>
                      <w:t xml:space="preserve">, Government of Northwest Territories, </w:t>
                    </w:r>
                    <w:r>
                      <w:rPr>
                        <w:noProof/>
                        <w:color w:val="0000FF"/>
                        <w:u w:val="single"/>
                      </w:rPr>
                      <w:t>https://www.ece.gov.nt.ca/sites/ece/files/resources/northwest_territories_aboriginal_languages_framework_-_may_2017.pdf</w:t>
                    </w:r>
                    <w:r>
                      <w:rPr>
                        <w:noProof/>
                      </w:rPr>
                      <w:t xml:space="preserve"> (accessed on 4 October 2021).</w:t>
                    </w:r>
                  </w:p>
                </w:tc>
                <w:tc>
                  <w:tcPr>
                    <w:tcW w:w="600" w:type="dxa"/>
                    <w:noWrap/>
                    <w:hideMark/>
                  </w:tcPr>
                  <w:p w14:paraId="5427CAF1" w14:textId="77777777" w:rsidR="00307F9E" w:rsidRDefault="00307F9E">
                    <w:pPr>
                      <w:spacing w:before="100" w:beforeAutospacing="1" w:after="100" w:afterAutospacing="1"/>
                      <w:jc w:val="right"/>
                      <w:rPr>
                        <w:noProof/>
                      </w:rPr>
                    </w:pPr>
                    <w:r>
                      <w:rPr>
                        <w:noProof/>
                        <w:color w:val="000000"/>
                        <w:sz w:val="16"/>
                        <w:szCs w:val="16"/>
                      </w:rPr>
                      <w:t>[93]</w:t>
                    </w:r>
                  </w:p>
                </w:tc>
              </w:tr>
              <w:tr w:rsidR="00307F9E" w14:paraId="5BC27D64" w14:textId="77777777">
                <w:trPr>
                  <w:divId w:val="465852184"/>
                </w:trPr>
                <w:tc>
                  <w:tcPr>
                    <w:tcW w:w="0" w:type="auto"/>
                    <w:hideMark/>
                  </w:tcPr>
                  <w:p w14:paraId="6A176130" w14:textId="77777777" w:rsidR="00307F9E" w:rsidRDefault="00307F9E">
                    <w:pPr>
                      <w:pStyle w:val="Bibliography"/>
                      <w:rPr>
                        <w:noProof/>
                      </w:rPr>
                    </w:pPr>
                    <w:r>
                      <w:rPr>
                        <w:noProof/>
                      </w:rPr>
                      <w:t xml:space="preserve">Government of Nunavut (2008), </w:t>
                    </w:r>
                    <w:r>
                      <w:rPr>
                        <w:i/>
                        <w:iCs/>
                        <w:noProof/>
                      </w:rPr>
                      <w:t>Inuit language protection act</w:t>
                    </w:r>
                    <w:r>
                      <w:rPr>
                        <w:noProof/>
                      </w:rPr>
                      <w:t xml:space="preserve">, Canadian Legal Information Institute, </w:t>
                    </w:r>
                    <w:r>
                      <w:rPr>
                        <w:noProof/>
                        <w:color w:val="0000FF"/>
                        <w:u w:val="single"/>
                      </w:rPr>
                      <w:t>https://www.canlii.org/en/nu/laws/stat/snu-2008-c-17/136297/snu-2008-c-17.html</w:t>
                    </w:r>
                    <w:r>
                      <w:rPr>
                        <w:noProof/>
                      </w:rPr>
                      <w:t xml:space="preserve"> (accessed on 24 September 2021).</w:t>
                    </w:r>
                  </w:p>
                </w:tc>
                <w:tc>
                  <w:tcPr>
                    <w:tcW w:w="600" w:type="dxa"/>
                    <w:noWrap/>
                    <w:hideMark/>
                  </w:tcPr>
                  <w:p w14:paraId="1DF85ADC" w14:textId="77777777" w:rsidR="00307F9E" w:rsidRDefault="00307F9E">
                    <w:pPr>
                      <w:spacing w:before="100" w:beforeAutospacing="1" w:after="100" w:afterAutospacing="1"/>
                      <w:jc w:val="right"/>
                      <w:rPr>
                        <w:noProof/>
                      </w:rPr>
                    </w:pPr>
                    <w:r>
                      <w:rPr>
                        <w:noProof/>
                        <w:color w:val="000000"/>
                        <w:sz w:val="16"/>
                        <w:szCs w:val="16"/>
                      </w:rPr>
                      <w:t>[36]</w:t>
                    </w:r>
                  </w:p>
                </w:tc>
              </w:tr>
              <w:tr w:rsidR="00307F9E" w14:paraId="3D4C852D" w14:textId="77777777">
                <w:trPr>
                  <w:divId w:val="465852184"/>
                </w:trPr>
                <w:tc>
                  <w:tcPr>
                    <w:tcW w:w="0" w:type="auto"/>
                    <w:hideMark/>
                  </w:tcPr>
                  <w:p w14:paraId="4F514C81" w14:textId="77777777" w:rsidR="00307F9E" w:rsidRDefault="00307F9E">
                    <w:pPr>
                      <w:pStyle w:val="Bibliography"/>
                      <w:rPr>
                        <w:noProof/>
                      </w:rPr>
                    </w:pPr>
                    <w:r>
                      <w:rPr>
                        <w:noProof/>
                      </w:rPr>
                      <w:t xml:space="preserve">Green, J. (2010), </w:t>
                    </w:r>
                    <w:r>
                      <w:rPr>
                        <w:i/>
                        <w:iCs/>
                        <w:noProof/>
                      </w:rPr>
                      <w:t>Between the earth and the air: Multimodality in Arandic Sand Stories (Thesis)</w:t>
                    </w:r>
                    <w:r>
                      <w:rPr>
                        <w:noProof/>
                      </w:rPr>
                      <w:t>, School of Languages and Linguistis, University of Melbourne.</w:t>
                    </w:r>
                  </w:p>
                </w:tc>
                <w:tc>
                  <w:tcPr>
                    <w:tcW w:w="600" w:type="dxa"/>
                    <w:noWrap/>
                    <w:hideMark/>
                  </w:tcPr>
                  <w:p w14:paraId="7CF0CF45" w14:textId="77777777" w:rsidR="00307F9E" w:rsidRDefault="00307F9E">
                    <w:pPr>
                      <w:spacing w:before="100" w:beforeAutospacing="1" w:after="100" w:afterAutospacing="1"/>
                      <w:jc w:val="right"/>
                      <w:rPr>
                        <w:noProof/>
                      </w:rPr>
                    </w:pPr>
                    <w:r>
                      <w:rPr>
                        <w:noProof/>
                        <w:color w:val="000000"/>
                        <w:sz w:val="16"/>
                        <w:szCs w:val="16"/>
                      </w:rPr>
                      <w:t>[34]</w:t>
                    </w:r>
                  </w:p>
                </w:tc>
              </w:tr>
              <w:tr w:rsidR="00307F9E" w14:paraId="1591F30E" w14:textId="77777777">
                <w:trPr>
                  <w:divId w:val="465852184"/>
                </w:trPr>
                <w:tc>
                  <w:tcPr>
                    <w:tcW w:w="0" w:type="auto"/>
                    <w:hideMark/>
                  </w:tcPr>
                  <w:p w14:paraId="3B9DD39C" w14:textId="77777777" w:rsidR="00307F9E" w:rsidRDefault="00307F9E">
                    <w:pPr>
                      <w:pStyle w:val="Bibliography"/>
                      <w:rPr>
                        <w:noProof/>
                      </w:rPr>
                    </w:pPr>
                    <w:r>
                      <w:rPr>
                        <w:noProof/>
                      </w:rPr>
                      <w:t xml:space="preserve">Grieves, V. (2009), </w:t>
                    </w:r>
                    <w:r>
                      <w:rPr>
                        <w:i/>
                        <w:iCs/>
                        <w:noProof/>
                      </w:rPr>
                      <w:t>Aboriginal spirituality: Aboriginal philosophy, the basis of Aboriginal social and emotional wellbeing</w:t>
                    </w:r>
                    <w:r>
                      <w:rPr>
                        <w:noProof/>
                      </w:rPr>
                      <w:t>, Cooperative Research Centre for Aboriginal Health, Casuarina, NT.</w:t>
                    </w:r>
                  </w:p>
                </w:tc>
                <w:tc>
                  <w:tcPr>
                    <w:tcW w:w="600" w:type="dxa"/>
                    <w:noWrap/>
                    <w:hideMark/>
                  </w:tcPr>
                  <w:p w14:paraId="30CBCD5B" w14:textId="77777777" w:rsidR="00307F9E" w:rsidRDefault="00307F9E">
                    <w:pPr>
                      <w:spacing w:before="100" w:beforeAutospacing="1" w:after="100" w:afterAutospacing="1"/>
                      <w:jc w:val="right"/>
                      <w:rPr>
                        <w:noProof/>
                      </w:rPr>
                    </w:pPr>
                    <w:r>
                      <w:rPr>
                        <w:noProof/>
                        <w:color w:val="000000"/>
                        <w:sz w:val="16"/>
                        <w:szCs w:val="16"/>
                      </w:rPr>
                      <w:t>[26]</w:t>
                    </w:r>
                  </w:p>
                </w:tc>
              </w:tr>
              <w:tr w:rsidR="00307F9E" w14:paraId="4160D163" w14:textId="77777777">
                <w:trPr>
                  <w:divId w:val="465852184"/>
                </w:trPr>
                <w:tc>
                  <w:tcPr>
                    <w:tcW w:w="0" w:type="auto"/>
                    <w:hideMark/>
                  </w:tcPr>
                  <w:p w14:paraId="1B260F25" w14:textId="77777777" w:rsidR="00307F9E" w:rsidRDefault="00307F9E">
                    <w:pPr>
                      <w:pStyle w:val="Bibliography"/>
                      <w:rPr>
                        <w:noProof/>
                      </w:rPr>
                    </w:pPr>
                    <w:r>
                      <w:rPr>
                        <w:noProof/>
                      </w:rPr>
                      <w:t xml:space="preserve">Gruber, J. et al (2016), “The hands, head, and brow. A sociolinguistic study of Māori gesture”, </w:t>
                    </w:r>
                    <w:r>
                      <w:rPr>
                        <w:i/>
                        <w:iCs/>
                        <w:noProof/>
                      </w:rPr>
                      <w:t>Gesture</w:t>
                    </w:r>
                    <w:r>
                      <w:rPr>
                        <w:noProof/>
                      </w:rPr>
                      <w:t>, Vol. 15.</w:t>
                    </w:r>
                  </w:p>
                </w:tc>
                <w:tc>
                  <w:tcPr>
                    <w:tcW w:w="600" w:type="dxa"/>
                    <w:noWrap/>
                    <w:hideMark/>
                  </w:tcPr>
                  <w:p w14:paraId="1E1FB49E" w14:textId="77777777" w:rsidR="00307F9E" w:rsidRDefault="00307F9E">
                    <w:pPr>
                      <w:spacing w:before="100" w:beforeAutospacing="1" w:after="100" w:afterAutospacing="1"/>
                      <w:jc w:val="right"/>
                      <w:rPr>
                        <w:noProof/>
                      </w:rPr>
                    </w:pPr>
                    <w:r>
                      <w:rPr>
                        <w:noProof/>
                        <w:color w:val="000000"/>
                        <w:sz w:val="16"/>
                        <w:szCs w:val="16"/>
                      </w:rPr>
                      <w:t>[195]</w:t>
                    </w:r>
                  </w:p>
                </w:tc>
              </w:tr>
              <w:tr w:rsidR="00307F9E" w14:paraId="224865D7" w14:textId="77777777">
                <w:trPr>
                  <w:divId w:val="465852184"/>
                </w:trPr>
                <w:tc>
                  <w:tcPr>
                    <w:tcW w:w="0" w:type="auto"/>
                    <w:hideMark/>
                  </w:tcPr>
                  <w:p w14:paraId="3A4DA173" w14:textId="77777777" w:rsidR="00307F9E" w:rsidRDefault="00307F9E">
                    <w:pPr>
                      <w:pStyle w:val="Bibliography"/>
                      <w:rPr>
                        <w:noProof/>
                      </w:rPr>
                    </w:pPr>
                    <w:r>
                      <w:rPr>
                        <w:noProof/>
                      </w:rPr>
                      <w:t xml:space="preserve">Gumperz, J. (1964), “Linguistic and social interaction in two communities”, </w:t>
                    </w:r>
                    <w:r>
                      <w:rPr>
                        <w:i/>
                        <w:iCs/>
                        <w:noProof/>
                      </w:rPr>
                      <w:t xml:space="preserve">American </w:t>
                    </w:r>
                    <w:r>
                      <w:rPr>
                        <w:i/>
                        <w:iCs/>
                        <w:noProof/>
                      </w:rPr>
                      <w:lastRenderedPageBreak/>
                      <w:t>Anthropologist</w:t>
                    </w:r>
                    <w:r>
                      <w:rPr>
                        <w:noProof/>
                      </w:rPr>
                      <w:t>, Vol. 66.</w:t>
                    </w:r>
                  </w:p>
                </w:tc>
                <w:tc>
                  <w:tcPr>
                    <w:tcW w:w="600" w:type="dxa"/>
                    <w:noWrap/>
                    <w:hideMark/>
                  </w:tcPr>
                  <w:p w14:paraId="4F37947D" w14:textId="77777777" w:rsidR="00307F9E" w:rsidRDefault="00307F9E">
                    <w:pPr>
                      <w:spacing w:before="100" w:beforeAutospacing="1" w:after="100" w:afterAutospacing="1"/>
                      <w:jc w:val="right"/>
                      <w:rPr>
                        <w:noProof/>
                      </w:rPr>
                    </w:pPr>
                    <w:r>
                      <w:rPr>
                        <w:noProof/>
                        <w:color w:val="000000"/>
                        <w:sz w:val="16"/>
                        <w:szCs w:val="16"/>
                      </w:rPr>
                      <w:lastRenderedPageBreak/>
                      <w:t>[160</w:t>
                    </w:r>
                    <w:r>
                      <w:rPr>
                        <w:noProof/>
                        <w:color w:val="000000"/>
                        <w:sz w:val="16"/>
                        <w:szCs w:val="16"/>
                      </w:rPr>
                      <w:lastRenderedPageBreak/>
                      <w:t>]</w:t>
                    </w:r>
                  </w:p>
                </w:tc>
              </w:tr>
              <w:tr w:rsidR="00307F9E" w14:paraId="41259BEA" w14:textId="77777777">
                <w:trPr>
                  <w:divId w:val="465852184"/>
                </w:trPr>
                <w:tc>
                  <w:tcPr>
                    <w:tcW w:w="0" w:type="auto"/>
                    <w:hideMark/>
                  </w:tcPr>
                  <w:p w14:paraId="4E77A832" w14:textId="77777777" w:rsidR="00307F9E" w:rsidRDefault="00307F9E">
                    <w:pPr>
                      <w:pStyle w:val="Bibliography"/>
                      <w:rPr>
                        <w:noProof/>
                      </w:rPr>
                    </w:pPr>
                    <w:r>
                      <w:rPr>
                        <w:noProof/>
                      </w:rPr>
                      <w:lastRenderedPageBreak/>
                      <w:t xml:space="preserve">Gunn, A. and J. Nuttall (eds.) (2019), </w:t>
                    </w:r>
                    <w:r>
                      <w:rPr>
                        <w:i/>
                        <w:iCs/>
                        <w:noProof/>
                      </w:rPr>
                      <w:t>Weaving Te Whāriki, Aotearoa New Zealand’s Early Childhood Curriculum in Theory and Practice, 3rd ed</w:t>
                    </w:r>
                    <w:r>
                      <w:rPr>
                        <w:noProof/>
                      </w:rPr>
                      <w:t>, NZCER Press.</w:t>
                    </w:r>
                  </w:p>
                </w:tc>
                <w:tc>
                  <w:tcPr>
                    <w:tcW w:w="600" w:type="dxa"/>
                    <w:noWrap/>
                    <w:hideMark/>
                  </w:tcPr>
                  <w:p w14:paraId="5F7C5DC1" w14:textId="77777777" w:rsidR="00307F9E" w:rsidRDefault="00307F9E">
                    <w:pPr>
                      <w:spacing w:before="100" w:beforeAutospacing="1" w:after="100" w:afterAutospacing="1"/>
                      <w:jc w:val="right"/>
                      <w:rPr>
                        <w:noProof/>
                      </w:rPr>
                    </w:pPr>
                    <w:r>
                      <w:rPr>
                        <w:noProof/>
                        <w:color w:val="000000"/>
                        <w:sz w:val="16"/>
                        <w:szCs w:val="16"/>
                      </w:rPr>
                      <w:t>[181]</w:t>
                    </w:r>
                  </w:p>
                </w:tc>
              </w:tr>
              <w:tr w:rsidR="00307F9E" w14:paraId="7145D971" w14:textId="77777777">
                <w:trPr>
                  <w:divId w:val="465852184"/>
                </w:trPr>
                <w:tc>
                  <w:tcPr>
                    <w:tcW w:w="0" w:type="auto"/>
                    <w:hideMark/>
                  </w:tcPr>
                  <w:p w14:paraId="5ADB41F0" w14:textId="77777777" w:rsidR="00307F9E" w:rsidRDefault="00307F9E">
                    <w:pPr>
                      <w:pStyle w:val="Bibliography"/>
                      <w:rPr>
                        <w:noProof/>
                      </w:rPr>
                    </w:pPr>
                    <w:r>
                      <w:rPr>
                        <w:noProof/>
                      </w:rPr>
                      <w:t xml:space="preserve">Haemata Limited (2019), </w:t>
                    </w:r>
                    <w:r>
                      <w:rPr>
                        <w:i/>
                        <w:iCs/>
                        <w:noProof/>
                      </w:rPr>
                      <w:t>Whakanuia te reo kia ora - Evaluation of te reo Māori in English-medium compulsory education</w:t>
                    </w:r>
                    <w:r>
                      <w:rPr>
                        <w:noProof/>
                      </w:rPr>
                      <w:t xml:space="preserve">, Te Taura Whiri i te reo Māori (Māori Language Commission), </w:t>
                    </w:r>
                    <w:r>
                      <w:rPr>
                        <w:noProof/>
                        <w:color w:val="0000FF"/>
                        <w:u w:val="single"/>
                      </w:rPr>
                      <w:t>https://www.tetaurawhiri.govt.nz/assets/Research/f0dc677bf5/Whakanuia-Te-Reo-Report.pdf</w:t>
                    </w:r>
                    <w:r>
                      <w:rPr>
                        <w:noProof/>
                      </w:rPr>
                      <w:t xml:space="preserve"> (accessed on 24 September 2021).</w:t>
                    </w:r>
                  </w:p>
                </w:tc>
                <w:tc>
                  <w:tcPr>
                    <w:tcW w:w="600" w:type="dxa"/>
                    <w:noWrap/>
                    <w:hideMark/>
                  </w:tcPr>
                  <w:p w14:paraId="287D7D8A" w14:textId="77777777" w:rsidR="00307F9E" w:rsidRDefault="00307F9E">
                    <w:pPr>
                      <w:spacing w:before="100" w:beforeAutospacing="1" w:after="100" w:afterAutospacing="1"/>
                      <w:jc w:val="right"/>
                      <w:rPr>
                        <w:noProof/>
                      </w:rPr>
                    </w:pPr>
                    <w:r>
                      <w:rPr>
                        <w:noProof/>
                        <w:color w:val="000000"/>
                        <w:sz w:val="16"/>
                        <w:szCs w:val="16"/>
                      </w:rPr>
                      <w:t>[42]</w:t>
                    </w:r>
                  </w:p>
                </w:tc>
              </w:tr>
              <w:tr w:rsidR="00307F9E" w14:paraId="6E6E18CB" w14:textId="77777777">
                <w:trPr>
                  <w:divId w:val="465852184"/>
                </w:trPr>
                <w:tc>
                  <w:tcPr>
                    <w:tcW w:w="0" w:type="auto"/>
                    <w:hideMark/>
                  </w:tcPr>
                  <w:p w14:paraId="1FB3BABD" w14:textId="77777777" w:rsidR="00307F9E" w:rsidRDefault="00307F9E">
                    <w:pPr>
                      <w:pStyle w:val="Bibliography"/>
                      <w:rPr>
                        <w:noProof/>
                      </w:rPr>
                    </w:pPr>
                    <w:r>
                      <w:rPr>
                        <w:noProof/>
                      </w:rPr>
                      <w:t xml:space="preserve">Haemata Limited (2019), </w:t>
                    </w:r>
                    <w:r>
                      <w:rPr>
                        <w:i/>
                        <w:iCs/>
                        <w:noProof/>
                      </w:rPr>
                      <w:t>Whakanuia te reo kia ora. Evaluation of te reo Māori in English-medium compulsory education</w:t>
                    </w:r>
                    <w:r>
                      <w:rPr>
                        <w:noProof/>
                      </w:rPr>
                      <w:t xml:space="preserve">, Te Taura Whiri i te reo Māori (Māori Language Commission), </w:t>
                    </w:r>
                    <w:r>
                      <w:rPr>
                        <w:noProof/>
                        <w:color w:val="0000FF"/>
                        <w:u w:val="single"/>
                      </w:rPr>
                      <w:t>https://www.tetaurawhiri.govt.nz/assets/Research/f0dc677bf5/Whakanuia-Te-Reo-Report.pdf</w:t>
                    </w:r>
                    <w:r>
                      <w:rPr>
                        <w:noProof/>
                      </w:rPr>
                      <w:t xml:space="preserve"> (accessed on 4 October 2021).</w:t>
                    </w:r>
                  </w:p>
                </w:tc>
                <w:tc>
                  <w:tcPr>
                    <w:tcW w:w="600" w:type="dxa"/>
                    <w:noWrap/>
                    <w:hideMark/>
                  </w:tcPr>
                  <w:p w14:paraId="4D0FB3B6" w14:textId="77777777" w:rsidR="00307F9E" w:rsidRDefault="00307F9E">
                    <w:pPr>
                      <w:spacing w:before="100" w:beforeAutospacing="1" w:after="100" w:afterAutospacing="1"/>
                      <w:jc w:val="right"/>
                      <w:rPr>
                        <w:noProof/>
                      </w:rPr>
                    </w:pPr>
                    <w:r>
                      <w:rPr>
                        <w:noProof/>
                        <w:color w:val="000000"/>
                        <w:sz w:val="16"/>
                        <w:szCs w:val="16"/>
                      </w:rPr>
                      <w:t>[184]</w:t>
                    </w:r>
                  </w:p>
                </w:tc>
              </w:tr>
              <w:tr w:rsidR="00307F9E" w14:paraId="355E0FEF" w14:textId="77777777">
                <w:trPr>
                  <w:divId w:val="465852184"/>
                </w:trPr>
                <w:tc>
                  <w:tcPr>
                    <w:tcW w:w="0" w:type="auto"/>
                    <w:hideMark/>
                  </w:tcPr>
                  <w:p w14:paraId="10BA0F1F" w14:textId="77777777" w:rsidR="00307F9E" w:rsidRDefault="00307F9E">
                    <w:pPr>
                      <w:pStyle w:val="Bibliography"/>
                      <w:rPr>
                        <w:noProof/>
                      </w:rPr>
                    </w:pPr>
                    <w:r>
                      <w:rPr>
                        <w:noProof/>
                      </w:rPr>
                      <w:t xml:space="preserve">Hallet, D., M. Chandler and C. Lalonde (2007), “Aboriginal language knowledge and youth suicide”, </w:t>
                    </w:r>
                    <w:r>
                      <w:rPr>
                        <w:i/>
                        <w:iCs/>
                        <w:noProof/>
                      </w:rPr>
                      <w:t>Cognitive Development</w:t>
                    </w:r>
                    <w:r>
                      <w:rPr>
                        <w:noProof/>
                      </w:rPr>
                      <w:t>, Vol. 22.</w:t>
                    </w:r>
                  </w:p>
                </w:tc>
                <w:tc>
                  <w:tcPr>
                    <w:tcW w:w="600" w:type="dxa"/>
                    <w:noWrap/>
                    <w:hideMark/>
                  </w:tcPr>
                  <w:p w14:paraId="4CE2D6FA" w14:textId="77777777" w:rsidR="00307F9E" w:rsidRDefault="00307F9E">
                    <w:pPr>
                      <w:spacing w:before="100" w:beforeAutospacing="1" w:after="100" w:afterAutospacing="1"/>
                      <w:jc w:val="right"/>
                      <w:rPr>
                        <w:noProof/>
                      </w:rPr>
                    </w:pPr>
                    <w:r>
                      <w:rPr>
                        <w:noProof/>
                        <w:color w:val="000000"/>
                        <w:sz w:val="16"/>
                        <w:szCs w:val="16"/>
                      </w:rPr>
                      <w:t>[51]</w:t>
                    </w:r>
                  </w:p>
                </w:tc>
              </w:tr>
              <w:tr w:rsidR="00307F9E" w14:paraId="15D3E080" w14:textId="77777777">
                <w:trPr>
                  <w:divId w:val="465852184"/>
                </w:trPr>
                <w:tc>
                  <w:tcPr>
                    <w:tcW w:w="0" w:type="auto"/>
                    <w:hideMark/>
                  </w:tcPr>
                  <w:p w14:paraId="749618DD" w14:textId="77777777" w:rsidR="00307F9E" w:rsidRDefault="00307F9E">
                    <w:pPr>
                      <w:pStyle w:val="Bibliography"/>
                      <w:rPr>
                        <w:noProof/>
                      </w:rPr>
                    </w:pPr>
                    <w:r>
                      <w:rPr>
                        <w:noProof/>
                      </w:rPr>
                      <w:t xml:space="preserve">Haque, E. and D. Patrick (2015), “Indigenous languages and the racial hierarchisation of language policy in Canada”, </w:t>
                    </w:r>
                    <w:r>
                      <w:rPr>
                        <w:i/>
                        <w:iCs/>
                        <w:noProof/>
                      </w:rPr>
                      <w:t>Journal of Multilingual and Multicultural Development</w:t>
                    </w:r>
                    <w:r>
                      <w:rPr>
                        <w:noProof/>
                      </w:rPr>
                      <w:t>, Vol. 36.</w:t>
                    </w:r>
                  </w:p>
                </w:tc>
                <w:tc>
                  <w:tcPr>
                    <w:tcW w:w="600" w:type="dxa"/>
                    <w:noWrap/>
                    <w:hideMark/>
                  </w:tcPr>
                  <w:p w14:paraId="3D44DCB5" w14:textId="77777777" w:rsidR="00307F9E" w:rsidRDefault="00307F9E">
                    <w:pPr>
                      <w:spacing w:before="100" w:beforeAutospacing="1" w:after="100" w:afterAutospacing="1"/>
                      <w:jc w:val="right"/>
                      <w:rPr>
                        <w:noProof/>
                      </w:rPr>
                    </w:pPr>
                    <w:r>
                      <w:rPr>
                        <w:noProof/>
                        <w:color w:val="000000"/>
                        <w:sz w:val="16"/>
                        <w:szCs w:val="16"/>
                      </w:rPr>
                      <w:t>[86]</w:t>
                    </w:r>
                  </w:p>
                </w:tc>
              </w:tr>
              <w:tr w:rsidR="00307F9E" w14:paraId="4AB229DB" w14:textId="77777777">
                <w:trPr>
                  <w:divId w:val="465852184"/>
                </w:trPr>
                <w:tc>
                  <w:tcPr>
                    <w:tcW w:w="0" w:type="auto"/>
                    <w:hideMark/>
                  </w:tcPr>
                  <w:p w14:paraId="7C5852AE" w14:textId="77777777" w:rsidR="00307F9E" w:rsidRDefault="00307F9E">
                    <w:pPr>
                      <w:pStyle w:val="Bibliography"/>
                      <w:rPr>
                        <w:noProof/>
                      </w:rPr>
                    </w:pPr>
                    <w:r>
                      <w:rPr>
                        <w:noProof/>
                      </w:rPr>
                      <w:t xml:space="preserve">Harley, B. and D. Hart (1997), “LANGUAGE APTITUDE AND SECOND LANGUAGE PROFICIENCY IN CLASSROOM LEARNERS OF DIFFERENT STARTING AGES”, </w:t>
                    </w:r>
                    <w:r>
                      <w:rPr>
                        <w:i/>
                        <w:iCs/>
                        <w:noProof/>
                      </w:rPr>
                      <w:t>Studies in Second Language Acquisition</w:t>
                    </w:r>
                    <w:r>
                      <w:rPr>
                        <w:noProof/>
                      </w:rPr>
                      <w:t xml:space="preserve">, Vol. 19/3, pp. 379-400, </w:t>
                    </w:r>
                    <w:r>
                      <w:rPr>
                        <w:noProof/>
                        <w:color w:val="0000FF"/>
                        <w:u w:val="single"/>
                      </w:rPr>
                      <w:t>http://dx.doi.org/10.1017/s0272263197003045</w:t>
                    </w:r>
                    <w:r>
                      <w:rPr>
                        <w:noProof/>
                      </w:rPr>
                      <w:t>.</w:t>
                    </w:r>
                  </w:p>
                </w:tc>
                <w:tc>
                  <w:tcPr>
                    <w:tcW w:w="600" w:type="dxa"/>
                    <w:noWrap/>
                    <w:hideMark/>
                  </w:tcPr>
                  <w:p w14:paraId="6368E8A7" w14:textId="77777777" w:rsidR="00307F9E" w:rsidRDefault="00307F9E">
                    <w:pPr>
                      <w:spacing w:before="100" w:beforeAutospacing="1" w:after="100" w:afterAutospacing="1"/>
                      <w:jc w:val="right"/>
                      <w:rPr>
                        <w:noProof/>
                      </w:rPr>
                    </w:pPr>
                    <w:r>
                      <w:rPr>
                        <w:noProof/>
                        <w:color w:val="000000"/>
                        <w:sz w:val="16"/>
                        <w:szCs w:val="16"/>
                      </w:rPr>
                      <w:t>[148]</w:t>
                    </w:r>
                  </w:p>
                </w:tc>
              </w:tr>
              <w:tr w:rsidR="00307F9E" w14:paraId="31D139CA" w14:textId="77777777">
                <w:trPr>
                  <w:divId w:val="465852184"/>
                </w:trPr>
                <w:tc>
                  <w:tcPr>
                    <w:tcW w:w="0" w:type="auto"/>
                    <w:hideMark/>
                  </w:tcPr>
                  <w:p w14:paraId="2FFC9292" w14:textId="77777777" w:rsidR="00307F9E" w:rsidRDefault="00307F9E">
                    <w:pPr>
                      <w:pStyle w:val="Bibliography"/>
                      <w:rPr>
                        <w:noProof/>
                      </w:rPr>
                    </w:pPr>
                    <w:r>
                      <w:rPr>
                        <w:noProof/>
                      </w:rPr>
                      <w:t xml:space="preserve">House of Representatives Standing Committee on Aboriginal and Torres Strait Islander Affairs (2012), </w:t>
                    </w:r>
                    <w:r>
                      <w:rPr>
                        <w:i/>
                        <w:iCs/>
                        <w:noProof/>
                      </w:rPr>
                      <w:t>Our land our languages. Language learning in Indigenous communities</w:t>
                    </w:r>
                    <w:r>
                      <w:rPr>
                        <w:noProof/>
                      </w:rPr>
                      <w:t>, Parliament of the Commonwealth of Australia, Canberra.</w:t>
                    </w:r>
                  </w:p>
                </w:tc>
                <w:tc>
                  <w:tcPr>
                    <w:tcW w:w="600" w:type="dxa"/>
                    <w:noWrap/>
                    <w:hideMark/>
                  </w:tcPr>
                  <w:p w14:paraId="078FC6FB" w14:textId="77777777" w:rsidR="00307F9E" w:rsidRDefault="00307F9E">
                    <w:pPr>
                      <w:spacing w:before="100" w:beforeAutospacing="1" w:after="100" w:afterAutospacing="1"/>
                      <w:jc w:val="right"/>
                      <w:rPr>
                        <w:noProof/>
                      </w:rPr>
                    </w:pPr>
                    <w:r>
                      <w:rPr>
                        <w:noProof/>
                        <w:color w:val="000000"/>
                        <w:sz w:val="16"/>
                        <w:szCs w:val="16"/>
                      </w:rPr>
                      <w:t>[43]</w:t>
                    </w:r>
                  </w:p>
                </w:tc>
              </w:tr>
              <w:tr w:rsidR="00307F9E" w14:paraId="03221FBA" w14:textId="77777777">
                <w:trPr>
                  <w:divId w:val="465852184"/>
                </w:trPr>
                <w:tc>
                  <w:tcPr>
                    <w:tcW w:w="0" w:type="auto"/>
                    <w:hideMark/>
                  </w:tcPr>
                  <w:p w14:paraId="42A2D379" w14:textId="77777777" w:rsidR="00307F9E" w:rsidRDefault="00307F9E">
                    <w:pPr>
                      <w:pStyle w:val="Bibliography"/>
                      <w:rPr>
                        <w:noProof/>
                      </w:rPr>
                    </w:pPr>
                    <w:r>
                      <w:rPr>
                        <w:noProof/>
                      </w:rPr>
                      <w:t xml:space="preserve">Human Rights and Equal Opportunity Commission (1997), </w:t>
                    </w:r>
                    <w:r>
                      <w:rPr>
                        <w:i/>
                        <w:iCs/>
                        <w:noProof/>
                      </w:rPr>
                      <w:t>Bringing them home: Report of the National Inquiry into the Separation of Aboriginal and Torres Strait Islander Children from their Families</w:t>
                    </w:r>
                    <w:r>
                      <w:rPr>
                        <w:noProof/>
                      </w:rPr>
                      <w:t xml:space="preserve">, HREOC, Sydney, </w:t>
                    </w:r>
                    <w:r>
                      <w:rPr>
                        <w:noProof/>
                        <w:color w:val="0000FF"/>
                        <w:u w:val="single"/>
                      </w:rPr>
                      <w:t>https://humanrights.gov.au/sites/default/files/content/pdf/social_justice/bringing_them_home_report.pdf</w:t>
                    </w:r>
                    <w:r>
                      <w:rPr>
                        <w:noProof/>
                      </w:rPr>
                      <w:t xml:space="preserve"> (accessed on 24 September 2021).</w:t>
                    </w:r>
                  </w:p>
                </w:tc>
                <w:tc>
                  <w:tcPr>
                    <w:tcW w:w="600" w:type="dxa"/>
                    <w:noWrap/>
                    <w:hideMark/>
                  </w:tcPr>
                  <w:p w14:paraId="7B97A1AB" w14:textId="77777777" w:rsidR="00307F9E" w:rsidRDefault="00307F9E">
                    <w:pPr>
                      <w:spacing w:before="100" w:beforeAutospacing="1" w:after="100" w:afterAutospacing="1"/>
                      <w:jc w:val="right"/>
                      <w:rPr>
                        <w:noProof/>
                      </w:rPr>
                    </w:pPr>
                    <w:r>
                      <w:rPr>
                        <w:noProof/>
                        <w:color w:val="000000"/>
                        <w:sz w:val="16"/>
                        <w:szCs w:val="16"/>
                      </w:rPr>
                      <w:t>[18]</w:t>
                    </w:r>
                  </w:p>
                </w:tc>
              </w:tr>
              <w:tr w:rsidR="00307F9E" w14:paraId="73FA2D9A" w14:textId="77777777">
                <w:trPr>
                  <w:divId w:val="465852184"/>
                </w:trPr>
                <w:tc>
                  <w:tcPr>
                    <w:tcW w:w="0" w:type="auto"/>
                    <w:hideMark/>
                  </w:tcPr>
                  <w:p w14:paraId="4F27C6C3" w14:textId="77777777" w:rsidR="00307F9E" w:rsidRDefault="00307F9E">
                    <w:pPr>
                      <w:pStyle w:val="Bibliography"/>
                      <w:rPr>
                        <w:noProof/>
                      </w:rPr>
                    </w:pPr>
                    <w:r>
                      <w:rPr>
                        <w:noProof/>
                      </w:rPr>
                      <w:t xml:space="preserve">Hutchings, J. (2017), </w:t>
                    </w:r>
                    <w:r>
                      <w:rPr>
                        <w:i/>
                        <w:iCs/>
                        <w:noProof/>
                      </w:rPr>
                      <w:t>Te Ahu o te Reo - Te reo Maori in homes and communities. Overview report. He Tirohanga Whanui</w:t>
                    </w:r>
                    <w:r>
                      <w:rPr>
                        <w:noProof/>
                      </w:rPr>
                      <w:t>, New Zealand Council for Educational Research/Victoria University of Wellington, Wellington.</w:t>
                    </w:r>
                  </w:p>
                </w:tc>
                <w:tc>
                  <w:tcPr>
                    <w:tcW w:w="600" w:type="dxa"/>
                    <w:noWrap/>
                    <w:hideMark/>
                  </w:tcPr>
                  <w:p w14:paraId="4400F66B" w14:textId="77777777" w:rsidR="00307F9E" w:rsidRDefault="00307F9E">
                    <w:pPr>
                      <w:spacing w:before="100" w:beforeAutospacing="1" w:after="100" w:afterAutospacing="1"/>
                      <w:jc w:val="right"/>
                      <w:rPr>
                        <w:noProof/>
                      </w:rPr>
                    </w:pPr>
                    <w:r>
                      <w:rPr>
                        <w:noProof/>
                        <w:color w:val="000000"/>
                        <w:sz w:val="16"/>
                        <w:szCs w:val="16"/>
                      </w:rPr>
                      <w:t>[3]</w:t>
                    </w:r>
                  </w:p>
                </w:tc>
              </w:tr>
              <w:tr w:rsidR="00307F9E" w14:paraId="319FAB52" w14:textId="77777777">
                <w:trPr>
                  <w:divId w:val="465852184"/>
                </w:trPr>
                <w:tc>
                  <w:tcPr>
                    <w:tcW w:w="0" w:type="auto"/>
                    <w:hideMark/>
                  </w:tcPr>
                  <w:p w14:paraId="5FB458C4" w14:textId="77777777" w:rsidR="00307F9E" w:rsidRDefault="00307F9E">
                    <w:pPr>
                      <w:pStyle w:val="Bibliography"/>
                      <w:rPr>
                        <w:noProof/>
                      </w:rPr>
                    </w:pPr>
                    <w:r>
                      <w:rPr>
                        <w:noProof/>
                      </w:rPr>
                      <w:t xml:space="preserve">Indigenous Services Canada (2019), </w:t>
                    </w:r>
                    <w:r>
                      <w:rPr>
                        <w:i/>
                        <w:iCs/>
                        <w:noProof/>
                      </w:rPr>
                      <w:t>New Funding and Policy Approach for First Nations Kindergarten to Grade 12 Education - Backgrounder</w:t>
                    </w:r>
                    <w:r>
                      <w:rPr>
                        <w:noProof/>
                      </w:rPr>
                      <w:t xml:space="preserve">, Government of Canada, </w:t>
                    </w:r>
                    <w:r>
                      <w:rPr>
                        <w:noProof/>
                        <w:color w:val="0000FF"/>
                        <w:u w:val="single"/>
                      </w:rPr>
                      <w:t>https://www.canada.ca/en/indigenous-services-canada/news/2019/01/new-funding-and-policy-approach-for-first-nations-kindergarten-to-grade-12-education.html</w:t>
                    </w:r>
                    <w:r>
                      <w:rPr>
                        <w:noProof/>
                      </w:rPr>
                      <w:t xml:space="preserve"> (accessed on 4 October 2021).</w:t>
                    </w:r>
                  </w:p>
                </w:tc>
                <w:tc>
                  <w:tcPr>
                    <w:tcW w:w="600" w:type="dxa"/>
                    <w:noWrap/>
                    <w:hideMark/>
                  </w:tcPr>
                  <w:p w14:paraId="24BE3FBB" w14:textId="77777777" w:rsidR="00307F9E" w:rsidRDefault="00307F9E">
                    <w:pPr>
                      <w:spacing w:before="100" w:beforeAutospacing="1" w:after="100" w:afterAutospacing="1"/>
                      <w:jc w:val="right"/>
                      <w:rPr>
                        <w:noProof/>
                      </w:rPr>
                    </w:pPr>
                    <w:r>
                      <w:rPr>
                        <w:noProof/>
                        <w:color w:val="000000"/>
                        <w:sz w:val="16"/>
                        <w:szCs w:val="16"/>
                      </w:rPr>
                      <w:t>[89]</w:t>
                    </w:r>
                  </w:p>
                </w:tc>
              </w:tr>
              <w:tr w:rsidR="00307F9E" w14:paraId="675AAA00" w14:textId="77777777">
                <w:trPr>
                  <w:divId w:val="465852184"/>
                </w:trPr>
                <w:tc>
                  <w:tcPr>
                    <w:tcW w:w="0" w:type="auto"/>
                    <w:hideMark/>
                  </w:tcPr>
                  <w:p w14:paraId="557C4014" w14:textId="77777777" w:rsidR="00307F9E" w:rsidRDefault="00307F9E">
                    <w:pPr>
                      <w:pStyle w:val="Bibliography"/>
                      <w:rPr>
                        <w:noProof/>
                      </w:rPr>
                    </w:pPr>
                    <w:r>
                      <w:rPr>
                        <w:noProof/>
                      </w:rPr>
                      <w:t xml:space="preserve">International Center for Caribbean Language Research (ICCLR) (2011), </w:t>
                    </w:r>
                    <w:r>
                      <w:rPr>
                        <w:i/>
                        <w:iCs/>
                        <w:noProof/>
                      </w:rPr>
                      <w:t>Charter on Language Policy and Language RIghts in the Creole-Speaking Caribbean</w:t>
                    </w:r>
                    <w:r>
                      <w:rPr>
                        <w:noProof/>
                      </w:rPr>
                      <w:t xml:space="preserve">, ICCLR, Kingston, Jamaica, </w:t>
                    </w:r>
                    <w:r>
                      <w:rPr>
                        <w:noProof/>
                        <w:color w:val="0000FF"/>
                        <w:u w:val="single"/>
                      </w:rPr>
                      <w:t>http://caribbeanlanguagepolicy.weebly.com/uploads/5/3/9/0/5390818/charter_on_language_policy_and_language_rights_in.docx2.pdf</w:t>
                    </w:r>
                    <w:r>
                      <w:rPr>
                        <w:noProof/>
                      </w:rPr>
                      <w:t xml:space="preserve"> (accessed on 4 October 2021).</w:t>
                    </w:r>
                  </w:p>
                </w:tc>
                <w:tc>
                  <w:tcPr>
                    <w:tcW w:w="600" w:type="dxa"/>
                    <w:noWrap/>
                    <w:hideMark/>
                  </w:tcPr>
                  <w:p w14:paraId="1AB3308F" w14:textId="77777777" w:rsidR="00307F9E" w:rsidRDefault="00307F9E">
                    <w:pPr>
                      <w:spacing w:before="100" w:beforeAutospacing="1" w:after="100" w:afterAutospacing="1"/>
                      <w:jc w:val="right"/>
                      <w:rPr>
                        <w:noProof/>
                      </w:rPr>
                    </w:pPr>
                    <w:r>
                      <w:rPr>
                        <w:noProof/>
                        <w:color w:val="000000"/>
                        <w:sz w:val="16"/>
                        <w:szCs w:val="16"/>
                      </w:rPr>
                      <w:t>[64]</w:t>
                    </w:r>
                  </w:p>
                </w:tc>
              </w:tr>
              <w:tr w:rsidR="00307F9E" w14:paraId="4F2CFD3C" w14:textId="77777777">
                <w:trPr>
                  <w:divId w:val="465852184"/>
                </w:trPr>
                <w:tc>
                  <w:tcPr>
                    <w:tcW w:w="0" w:type="auto"/>
                    <w:hideMark/>
                  </w:tcPr>
                  <w:p w14:paraId="1C38A9DA" w14:textId="77777777" w:rsidR="00307F9E" w:rsidRDefault="00307F9E">
                    <w:pPr>
                      <w:pStyle w:val="Bibliography"/>
                      <w:rPr>
                        <w:noProof/>
                      </w:rPr>
                    </w:pPr>
                    <w:r>
                      <w:rPr>
                        <w:noProof/>
                      </w:rPr>
                      <w:t xml:space="preserve">Jones, C., P. Chandler and K. Lowe (2010), “Sounds, spelling and learning to read an Aboriginal language”, in Hobson, J. et al (ed.), </w:t>
                    </w:r>
                    <w:r>
                      <w:rPr>
                        <w:i/>
                        <w:iCs/>
                        <w:noProof/>
                      </w:rPr>
                      <w:t>Re-awakening languages</w:t>
                    </w:r>
                    <w:r>
                      <w:rPr>
                        <w:noProof/>
                      </w:rPr>
                      <w:t>, Sydney University Press, Sydney.</w:t>
                    </w:r>
                  </w:p>
                </w:tc>
                <w:tc>
                  <w:tcPr>
                    <w:tcW w:w="600" w:type="dxa"/>
                    <w:noWrap/>
                    <w:hideMark/>
                  </w:tcPr>
                  <w:p w14:paraId="44D8E098" w14:textId="77777777" w:rsidR="00307F9E" w:rsidRDefault="00307F9E">
                    <w:pPr>
                      <w:spacing w:before="100" w:beforeAutospacing="1" w:after="100" w:afterAutospacing="1"/>
                      <w:jc w:val="right"/>
                      <w:rPr>
                        <w:noProof/>
                      </w:rPr>
                    </w:pPr>
                    <w:r>
                      <w:rPr>
                        <w:noProof/>
                        <w:color w:val="000000"/>
                        <w:sz w:val="16"/>
                        <w:szCs w:val="16"/>
                      </w:rPr>
                      <w:t>[59]</w:t>
                    </w:r>
                  </w:p>
                </w:tc>
              </w:tr>
              <w:tr w:rsidR="00307F9E" w14:paraId="760AFE8D" w14:textId="77777777">
                <w:trPr>
                  <w:divId w:val="465852184"/>
                </w:trPr>
                <w:tc>
                  <w:tcPr>
                    <w:tcW w:w="0" w:type="auto"/>
                    <w:hideMark/>
                  </w:tcPr>
                  <w:p w14:paraId="0BFBD4B8" w14:textId="77777777" w:rsidR="00307F9E" w:rsidRDefault="00307F9E">
                    <w:pPr>
                      <w:pStyle w:val="Bibliography"/>
                      <w:rPr>
                        <w:noProof/>
                      </w:rPr>
                    </w:pPr>
                    <w:r>
                      <w:rPr>
                        <w:noProof/>
                      </w:rPr>
                      <w:lastRenderedPageBreak/>
                      <w:t xml:space="preserve">Ka’ai-Mahuta, R. (2008), “The Impact of Language Loss on the Māori Performing Arts”, </w:t>
                    </w:r>
                    <w:r>
                      <w:rPr>
                        <w:i/>
                        <w:iCs/>
                        <w:noProof/>
                      </w:rPr>
                      <w:t>Te Kaharoa</w:t>
                    </w:r>
                    <w:r>
                      <w:rPr>
                        <w:noProof/>
                      </w:rPr>
                      <w:t xml:space="preserve">, Vol. 1/1, </w:t>
                    </w:r>
                    <w:r>
                      <w:rPr>
                        <w:noProof/>
                        <w:color w:val="0000FF"/>
                        <w:u w:val="single"/>
                      </w:rPr>
                      <w:t>http://dx.doi.org/10.24135/tekaharoa.v1i1.139</w:t>
                    </w:r>
                    <w:r>
                      <w:rPr>
                        <w:noProof/>
                      </w:rPr>
                      <w:t>.</w:t>
                    </w:r>
                  </w:p>
                </w:tc>
                <w:tc>
                  <w:tcPr>
                    <w:tcW w:w="600" w:type="dxa"/>
                    <w:noWrap/>
                    <w:hideMark/>
                  </w:tcPr>
                  <w:p w14:paraId="571C5C3A" w14:textId="77777777" w:rsidR="00307F9E" w:rsidRDefault="00307F9E">
                    <w:pPr>
                      <w:spacing w:before="100" w:beforeAutospacing="1" w:after="100" w:afterAutospacing="1"/>
                      <w:jc w:val="right"/>
                      <w:rPr>
                        <w:noProof/>
                      </w:rPr>
                    </w:pPr>
                    <w:r>
                      <w:rPr>
                        <w:noProof/>
                        <w:color w:val="000000"/>
                        <w:sz w:val="16"/>
                        <w:szCs w:val="16"/>
                      </w:rPr>
                      <w:t>[196]</w:t>
                    </w:r>
                  </w:p>
                </w:tc>
              </w:tr>
              <w:tr w:rsidR="00307F9E" w14:paraId="73BD0AD5" w14:textId="77777777">
                <w:trPr>
                  <w:divId w:val="465852184"/>
                </w:trPr>
                <w:tc>
                  <w:tcPr>
                    <w:tcW w:w="0" w:type="auto"/>
                    <w:hideMark/>
                  </w:tcPr>
                  <w:p w14:paraId="1ED44D21" w14:textId="77777777" w:rsidR="00307F9E" w:rsidRDefault="00307F9E">
                    <w:pPr>
                      <w:pStyle w:val="Bibliography"/>
                      <w:rPr>
                        <w:noProof/>
                      </w:rPr>
                    </w:pPr>
                    <w:r>
                      <w:rPr>
                        <w:noProof/>
                      </w:rPr>
                      <w:t xml:space="preserve">Kativik School Board (2011), </w:t>
                    </w:r>
                    <w:r>
                      <w:rPr>
                        <w:i/>
                        <w:iCs/>
                        <w:noProof/>
                      </w:rPr>
                      <w:t>Policy on languages of instruction</w:t>
                    </w:r>
                    <w:r>
                      <w:rPr>
                        <w:noProof/>
                      </w:rPr>
                      <w:t xml:space="preserve">, </w:t>
                    </w:r>
                    <w:r>
                      <w:rPr>
                        <w:noProof/>
                        <w:color w:val="0000FF"/>
                        <w:u w:val="single"/>
                      </w:rPr>
                      <w:t>https://www.kativik.qc.ca/wp-content/uploads/2017/08/adm-13-p-lang-inst-2011_e.pdf</w:t>
                    </w:r>
                    <w:r>
                      <w:rPr>
                        <w:noProof/>
                      </w:rPr>
                      <w:t xml:space="preserve"> (accessed on 4 October 2021).</w:t>
                    </w:r>
                  </w:p>
                </w:tc>
                <w:tc>
                  <w:tcPr>
                    <w:tcW w:w="600" w:type="dxa"/>
                    <w:noWrap/>
                    <w:hideMark/>
                  </w:tcPr>
                  <w:p w14:paraId="519F9FAA" w14:textId="77777777" w:rsidR="00307F9E" w:rsidRDefault="00307F9E">
                    <w:pPr>
                      <w:spacing w:before="100" w:beforeAutospacing="1" w:after="100" w:afterAutospacing="1"/>
                      <w:jc w:val="right"/>
                      <w:rPr>
                        <w:noProof/>
                      </w:rPr>
                    </w:pPr>
                    <w:r>
                      <w:rPr>
                        <w:noProof/>
                        <w:color w:val="000000"/>
                        <w:sz w:val="16"/>
                        <w:szCs w:val="16"/>
                      </w:rPr>
                      <w:t>[106]</w:t>
                    </w:r>
                  </w:p>
                </w:tc>
              </w:tr>
              <w:tr w:rsidR="00307F9E" w14:paraId="18D6E4A1" w14:textId="77777777">
                <w:trPr>
                  <w:divId w:val="465852184"/>
                </w:trPr>
                <w:tc>
                  <w:tcPr>
                    <w:tcW w:w="0" w:type="auto"/>
                    <w:hideMark/>
                  </w:tcPr>
                  <w:p w14:paraId="3655718F" w14:textId="77777777" w:rsidR="00307F9E" w:rsidRDefault="00307F9E">
                    <w:pPr>
                      <w:pStyle w:val="Bibliography"/>
                      <w:rPr>
                        <w:noProof/>
                      </w:rPr>
                    </w:pPr>
                    <w:r>
                      <w:rPr>
                        <w:noProof/>
                      </w:rPr>
                      <w:t xml:space="preserve">Kaurna Warra Pintyanthi (n.d.), </w:t>
                    </w:r>
                    <w:r>
                      <w:rPr>
                        <w:i/>
                        <w:iCs/>
                        <w:noProof/>
                      </w:rPr>
                      <w:t>Kaurna Warra Karrpanthi Aboriginal Corporation (KWK). Supporting the Kaurna Language of the Adelaide Plains</w:t>
                    </w:r>
                    <w:r>
                      <w:rPr>
                        <w:noProof/>
                      </w:rPr>
                      <w:t xml:space="preserve">, </w:t>
                    </w:r>
                    <w:r>
                      <w:rPr>
                        <w:noProof/>
                        <w:color w:val="0000FF"/>
                        <w:u w:val="single"/>
                      </w:rPr>
                      <w:t>https://www.adelaide.edu.au/kwp/kwk/</w:t>
                    </w:r>
                    <w:r>
                      <w:rPr>
                        <w:noProof/>
                      </w:rPr>
                      <w:t xml:space="preserve"> (accessed on 4 October 2021).</w:t>
                    </w:r>
                  </w:p>
                </w:tc>
                <w:tc>
                  <w:tcPr>
                    <w:tcW w:w="600" w:type="dxa"/>
                    <w:noWrap/>
                    <w:hideMark/>
                  </w:tcPr>
                  <w:p w14:paraId="06F24F3F" w14:textId="77777777" w:rsidR="00307F9E" w:rsidRDefault="00307F9E">
                    <w:pPr>
                      <w:spacing w:before="100" w:beforeAutospacing="1" w:after="100" w:afterAutospacing="1"/>
                      <w:jc w:val="right"/>
                      <w:rPr>
                        <w:noProof/>
                      </w:rPr>
                    </w:pPr>
                    <w:r>
                      <w:rPr>
                        <w:noProof/>
                        <w:color w:val="000000"/>
                        <w:sz w:val="16"/>
                        <w:szCs w:val="16"/>
                      </w:rPr>
                      <w:t>[175]</w:t>
                    </w:r>
                  </w:p>
                </w:tc>
              </w:tr>
              <w:tr w:rsidR="00307F9E" w14:paraId="500A8C4E" w14:textId="77777777">
                <w:trPr>
                  <w:divId w:val="465852184"/>
                </w:trPr>
                <w:tc>
                  <w:tcPr>
                    <w:tcW w:w="0" w:type="auto"/>
                    <w:hideMark/>
                  </w:tcPr>
                  <w:p w14:paraId="070DA592" w14:textId="77777777" w:rsidR="00307F9E" w:rsidRDefault="00307F9E">
                    <w:pPr>
                      <w:pStyle w:val="Bibliography"/>
                      <w:rPr>
                        <w:noProof/>
                      </w:rPr>
                    </w:pPr>
                    <w:r>
                      <w:rPr>
                        <w:noProof/>
                      </w:rPr>
                      <w:t xml:space="preserve">Keegan, P. (2017), “Māori dialect issues and Māori language ideologies in the revitalisation era”, </w:t>
                    </w:r>
                    <w:r>
                      <w:rPr>
                        <w:i/>
                        <w:iCs/>
                        <w:noProof/>
                      </w:rPr>
                      <w:t>MAI Journal</w:t>
                    </w:r>
                    <w:r>
                      <w:rPr>
                        <w:noProof/>
                      </w:rPr>
                      <w:t xml:space="preserve">, Vol. 6/2, </w:t>
                    </w:r>
                    <w:r>
                      <w:rPr>
                        <w:noProof/>
                        <w:color w:val="0000FF"/>
                        <w:u w:val="single"/>
                      </w:rPr>
                      <w:t>https://doi.org/10.20507/MAIJournal.2017.6.2.3</w:t>
                    </w:r>
                    <w:r>
                      <w:rPr>
                        <w:noProof/>
                      </w:rPr>
                      <w:t xml:space="preserve"> (accessed on 24 September 2021).</w:t>
                    </w:r>
                  </w:p>
                </w:tc>
                <w:tc>
                  <w:tcPr>
                    <w:tcW w:w="600" w:type="dxa"/>
                    <w:noWrap/>
                    <w:hideMark/>
                  </w:tcPr>
                  <w:p w14:paraId="3195848B" w14:textId="77777777" w:rsidR="00307F9E" w:rsidRDefault="00307F9E">
                    <w:pPr>
                      <w:spacing w:before="100" w:beforeAutospacing="1" w:after="100" w:afterAutospacing="1"/>
                      <w:jc w:val="right"/>
                      <w:rPr>
                        <w:noProof/>
                      </w:rPr>
                    </w:pPr>
                    <w:r>
                      <w:rPr>
                        <w:noProof/>
                        <w:color w:val="000000"/>
                        <w:sz w:val="16"/>
                        <w:szCs w:val="16"/>
                      </w:rPr>
                      <w:t>[4]</w:t>
                    </w:r>
                  </w:p>
                </w:tc>
              </w:tr>
              <w:tr w:rsidR="00307F9E" w14:paraId="40737BAB" w14:textId="77777777">
                <w:trPr>
                  <w:divId w:val="465852184"/>
                </w:trPr>
                <w:tc>
                  <w:tcPr>
                    <w:tcW w:w="0" w:type="auto"/>
                    <w:hideMark/>
                  </w:tcPr>
                  <w:p w14:paraId="3FB574F0" w14:textId="77777777" w:rsidR="00307F9E" w:rsidRDefault="00307F9E">
                    <w:pPr>
                      <w:pStyle w:val="Bibliography"/>
                      <w:rPr>
                        <w:noProof/>
                      </w:rPr>
                    </w:pPr>
                    <w:r>
                      <w:rPr>
                        <w:noProof/>
                      </w:rPr>
                      <w:t xml:space="preserve">Keegan, P. (2017), “Māori dialect issues and Māori language ideologies in the revitalisation era”, </w:t>
                    </w:r>
                    <w:r>
                      <w:rPr>
                        <w:i/>
                        <w:iCs/>
                        <w:noProof/>
                      </w:rPr>
                      <w:t>MAI Journal</w:t>
                    </w:r>
                    <w:r>
                      <w:rPr>
                        <w:noProof/>
                      </w:rPr>
                      <w:t>, Vol. 6.</w:t>
                    </w:r>
                  </w:p>
                </w:tc>
                <w:tc>
                  <w:tcPr>
                    <w:tcW w:w="600" w:type="dxa"/>
                    <w:noWrap/>
                    <w:hideMark/>
                  </w:tcPr>
                  <w:p w14:paraId="2F53E48B" w14:textId="77777777" w:rsidR="00307F9E" w:rsidRDefault="00307F9E">
                    <w:pPr>
                      <w:spacing w:before="100" w:beforeAutospacing="1" w:after="100" w:afterAutospacing="1"/>
                      <w:jc w:val="right"/>
                      <w:rPr>
                        <w:noProof/>
                      </w:rPr>
                    </w:pPr>
                    <w:r>
                      <w:rPr>
                        <w:noProof/>
                        <w:color w:val="000000"/>
                        <w:sz w:val="16"/>
                        <w:szCs w:val="16"/>
                      </w:rPr>
                      <w:t>[179]</w:t>
                    </w:r>
                  </w:p>
                </w:tc>
              </w:tr>
              <w:tr w:rsidR="00307F9E" w14:paraId="259C153C" w14:textId="77777777">
                <w:trPr>
                  <w:divId w:val="465852184"/>
                </w:trPr>
                <w:tc>
                  <w:tcPr>
                    <w:tcW w:w="0" w:type="auto"/>
                    <w:hideMark/>
                  </w:tcPr>
                  <w:p w14:paraId="295C1A6D" w14:textId="77777777" w:rsidR="00307F9E" w:rsidRDefault="00307F9E">
                    <w:pPr>
                      <w:pStyle w:val="Bibliography"/>
                      <w:rPr>
                        <w:noProof/>
                      </w:rPr>
                    </w:pPr>
                    <w:r>
                      <w:rPr>
                        <w:noProof/>
                      </w:rPr>
                      <w:t xml:space="preserve">Kerehoma, L. (2017), </w:t>
                    </w:r>
                    <w:r>
                      <w:rPr>
                        <w:i/>
                        <w:iCs/>
                        <w:noProof/>
                      </w:rPr>
                      <w:t>He hua rānei tō te kapa haka : kapa haka as a retention tool for Māori students in mainstream secondary schools (Thesis)</w:t>
                    </w:r>
                    <w:r>
                      <w:rPr>
                        <w:noProof/>
                      </w:rPr>
                      <w:t xml:space="preserve">, </w:t>
                    </w:r>
                    <w:r>
                      <w:rPr>
                        <w:noProof/>
                        <w:color w:val="0000FF"/>
                        <w:u w:val="single"/>
                      </w:rPr>
                      <w:t>https://mro.massey.ac.nz/handle/10179/12808</w:t>
                    </w:r>
                    <w:r>
                      <w:rPr>
                        <w:noProof/>
                      </w:rPr>
                      <w:t xml:space="preserve"> (accessed on 4 October 2021).</w:t>
                    </w:r>
                  </w:p>
                </w:tc>
                <w:tc>
                  <w:tcPr>
                    <w:tcW w:w="600" w:type="dxa"/>
                    <w:noWrap/>
                    <w:hideMark/>
                  </w:tcPr>
                  <w:p w14:paraId="4D6E9021" w14:textId="77777777" w:rsidR="00307F9E" w:rsidRDefault="00307F9E">
                    <w:pPr>
                      <w:spacing w:before="100" w:beforeAutospacing="1" w:after="100" w:afterAutospacing="1"/>
                      <w:jc w:val="right"/>
                      <w:rPr>
                        <w:noProof/>
                      </w:rPr>
                    </w:pPr>
                    <w:r>
                      <w:rPr>
                        <w:noProof/>
                        <w:color w:val="000000"/>
                        <w:sz w:val="16"/>
                        <w:szCs w:val="16"/>
                      </w:rPr>
                      <w:t>[197]</w:t>
                    </w:r>
                  </w:p>
                </w:tc>
              </w:tr>
              <w:tr w:rsidR="00307F9E" w14:paraId="4577D4F9" w14:textId="77777777">
                <w:trPr>
                  <w:divId w:val="465852184"/>
                </w:trPr>
                <w:tc>
                  <w:tcPr>
                    <w:tcW w:w="0" w:type="auto"/>
                    <w:hideMark/>
                  </w:tcPr>
                  <w:p w14:paraId="6FE77111" w14:textId="77777777" w:rsidR="00307F9E" w:rsidRDefault="00307F9E">
                    <w:pPr>
                      <w:pStyle w:val="Bibliography"/>
                      <w:rPr>
                        <w:noProof/>
                      </w:rPr>
                    </w:pPr>
                    <w:r>
                      <w:rPr>
                        <w:noProof/>
                      </w:rPr>
                      <w:t xml:space="preserve">Kimberley Language Resource Centre (2011), </w:t>
                    </w:r>
                    <w:r>
                      <w:rPr>
                        <w:i/>
                        <w:iCs/>
                        <w:noProof/>
                      </w:rPr>
                      <w:t>Celebrating 25 years of keeping language strong</w:t>
                    </w:r>
                    <w:r>
                      <w:rPr>
                        <w:noProof/>
                      </w:rPr>
                      <w:t>.</w:t>
                    </w:r>
                  </w:p>
                </w:tc>
                <w:tc>
                  <w:tcPr>
                    <w:tcW w:w="600" w:type="dxa"/>
                    <w:noWrap/>
                    <w:hideMark/>
                  </w:tcPr>
                  <w:p w14:paraId="1CE983F3" w14:textId="77777777" w:rsidR="00307F9E" w:rsidRDefault="00307F9E">
                    <w:pPr>
                      <w:spacing w:before="100" w:beforeAutospacing="1" w:after="100" w:afterAutospacing="1"/>
                      <w:jc w:val="right"/>
                      <w:rPr>
                        <w:noProof/>
                      </w:rPr>
                    </w:pPr>
                    <w:r>
                      <w:rPr>
                        <w:noProof/>
                        <w:color w:val="000000"/>
                        <w:sz w:val="16"/>
                        <w:szCs w:val="16"/>
                      </w:rPr>
                      <w:t>[28]</w:t>
                    </w:r>
                  </w:p>
                </w:tc>
              </w:tr>
              <w:tr w:rsidR="00307F9E" w14:paraId="47FC428F" w14:textId="77777777">
                <w:trPr>
                  <w:divId w:val="465852184"/>
                </w:trPr>
                <w:tc>
                  <w:tcPr>
                    <w:tcW w:w="0" w:type="auto"/>
                    <w:hideMark/>
                  </w:tcPr>
                  <w:p w14:paraId="21322A2D" w14:textId="77777777" w:rsidR="00307F9E" w:rsidRDefault="00307F9E">
                    <w:pPr>
                      <w:pStyle w:val="Bibliography"/>
                      <w:rPr>
                        <w:noProof/>
                      </w:rPr>
                    </w:pPr>
                    <w:r>
                      <w:rPr>
                        <w:noProof/>
                      </w:rPr>
                      <w:t xml:space="preserve">Kim, H. et al. (2019), “Linguistic hierarchisation in education policy development: Ontario’s Heritage Languages Program”, </w:t>
                    </w:r>
                    <w:r>
                      <w:rPr>
                        <w:i/>
                        <w:iCs/>
                        <w:noProof/>
                      </w:rPr>
                      <w:t>Journal of Multilingual and Multicultural Development</w:t>
                    </w:r>
                    <w:r>
                      <w:rPr>
                        <w:noProof/>
                      </w:rPr>
                      <w:t xml:space="preserve">, Vol. 41/4, pp. 320-332, </w:t>
                    </w:r>
                    <w:r>
                      <w:rPr>
                        <w:noProof/>
                        <w:color w:val="0000FF"/>
                        <w:u w:val="single"/>
                      </w:rPr>
                      <w:t>https://doi.org/10.1080/01434632.2019.1618318</w:t>
                    </w:r>
                    <w:r>
                      <w:rPr>
                        <w:noProof/>
                      </w:rPr>
                      <w:t>.</w:t>
                    </w:r>
                  </w:p>
                </w:tc>
                <w:tc>
                  <w:tcPr>
                    <w:tcW w:w="600" w:type="dxa"/>
                    <w:noWrap/>
                    <w:hideMark/>
                  </w:tcPr>
                  <w:p w14:paraId="1C88D266" w14:textId="77777777" w:rsidR="00307F9E" w:rsidRDefault="00307F9E">
                    <w:pPr>
                      <w:spacing w:before="100" w:beforeAutospacing="1" w:after="100" w:afterAutospacing="1"/>
                      <w:jc w:val="right"/>
                      <w:rPr>
                        <w:noProof/>
                      </w:rPr>
                    </w:pPr>
                    <w:r>
                      <w:rPr>
                        <w:noProof/>
                        <w:color w:val="000000"/>
                        <w:sz w:val="16"/>
                        <w:szCs w:val="16"/>
                      </w:rPr>
                      <w:t>[87]</w:t>
                    </w:r>
                  </w:p>
                </w:tc>
              </w:tr>
              <w:tr w:rsidR="00307F9E" w14:paraId="28804183" w14:textId="77777777">
                <w:trPr>
                  <w:divId w:val="465852184"/>
                </w:trPr>
                <w:tc>
                  <w:tcPr>
                    <w:tcW w:w="0" w:type="auto"/>
                    <w:hideMark/>
                  </w:tcPr>
                  <w:p w14:paraId="339247EF" w14:textId="77777777" w:rsidR="00307F9E" w:rsidRDefault="00307F9E">
                    <w:pPr>
                      <w:pStyle w:val="Bibliography"/>
                      <w:rPr>
                        <w:noProof/>
                      </w:rPr>
                    </w:pPr>
                    <w:r>
                      <w:rPr>
                        <w:noProof/>
                      </w:rPr>
                      <w:t xml:space="preserve">King, J. (2001), “Te Kōhanga Reo: Māori Language Revitalization”, in Hinton, L. and K. Hale (eds.), </w:t>
                    </w:r>
                    <w:r>
                      <w:rPr>
                        <w:i/>
                        <w:iCs/>
                        <w:noProof/>
                      </w:rPr>
                      <w:t>The Green Book of Language Revitalization in Practice</w:t>
                    </w:r>
                    <w:r>
                      <w:rPr>
                        <w:noProof/>
                      </w:rPr>
                      <w:t>, Brill.</w:t>
                    </w:r>
                  </w:p>
                </w:tc>
                <w:tc>
                  <w:tcPr>
                    <w:tcW w:w="600" w:type="dxa"/>
                    <w:noWrap/>
                    <w:hideMark/>
                  </w:tcPr>
                  <w:p w14:paraId="0DDE6974" w14:textId="77777777" w:rsidR="00307F9E" w:rsidRDefault="00307F9E">
                    <w:pPr>
                      <w:spacing w:before="100" w:beforeAutospacing="1" w:after="100" w:afterAutospacing="1"/>
                      <w:jc w:val="right"/>
                      <w:rPr>
                        <w:noProof/>
                      </w:rPr>
                    </w:pPr>
                    <w:r>
                      <w:rPr>
                        <w:noProof/>
                        <w:color w:val="000000"/>
                        <w:sz w:val="16"/>
                        <w:szCs w:val="16"/>
                      </w:rPr>
                      <w:t>[180]</w:t>
                    </w:r>
                  </w:p>
                </w:tc>
              </w:tr>
              <w:tr w:rsidR="00307F9E" w14:paraId="3620A357" w14:textId="77777777">
                <w:trPr>
                  <w:divId w:val="465852184"/>
                </w:trPr>
                <w:tc>
                  <w:tcPr>
                    <w:tcW w:w="0" w:type="auto"/>
                    <w:hideMark/>
                  </w:tcPr>
                  <w:p w14:paraId="5B5E052C" w14:textId="77777777" w:rsidR="00307F9E" w:rsidRDefault="00307F9E">
                    <w:pPr>
                      <w:pStyle w:val="Bibliography"/>
                      <w:rPr>
                        <w:noProof/>
                      </w:rPr>
                    </w:pPr>
                    <w:r>
                      <w:rPr>
                        <w:noProof/>
                      </w:rPr>
                      <w:t xml:space="preserve">Korskrity, P. and M. Field (eds.) (2009), </w:t>
                    </w:r>
                    <w:r>
                      <w:rPr>
                        <w:i/>
                        <w:iCs/>
                        <w:noProof/>
                      </w:rPr>
                      <w:t>Native American language ideologies: Beliefs, practices, and struggles in Indian country</w:t>
                    </w:r>
                    <w:r>
                      <w:rPr>
                        <w:noProof/>
                      </w:rPr>
                      <w:t>, The University of Arizona Press, Tucson, AZ.</w:t>
                    </w:r>
                  </w:p>
                </w:tc>
                <w:tc>
                  <w:tcPr>
                    <w:tcW w:w="600" w:type="dxa"/>
                    <w:noWrap/>
                    <w:hideMark/>
                  </w:tcPr>
                  <w:p w14:paraId="40F946DF" w14:textId="77777777" w:rsidR="00307F9E" w:rsidRDefault="00307F9E">
                    <w:pPr>
                      <w:spacing w:before="100" w:beforeAutospacing="1" w:after="100" w:afterAutospacing="1"/>
                      <w:jc w:val="right"/>
                      <w:rPr>
                        <w:noProof/>
                      </w:rPr>
                    </w:pPr>
                    <w:r>
                      <w:rPr>
                        <w:noProof/>
                        <w:color w:val="000000"/>
                        <w:sz w:val="16"/>
                        <w:szCs w:val="16"/>
                      </w:rPr>
                      <w:t>[110]</w:t>
                    </w:r>
                  </w:p>
                </w:tc>
              </w:tr>
              <w:tr w:rsidR="00307F9E" w14:paraId="67842FE2" w14:textId="77777777">
                <w:trPr>
                  <w:divId w:val="465852184"/>
                </w:trPr>
                <w:tc>
                  <w:tcPr>
                    <w:tcW w:w="0" w:type="auto"/>
                    <w:hideMark/>
                  </w:tcPr>
                  <w:p w14:paraId="1D2721A4" w14:textId="77777777" w:rsidR="00307F9E" w:rsidRDefault="00307F9E">
                    <w:pPr>
                      <w:pStyle w:val="Bibliography"/>
                      <w:rPr>
                        <w:noProof/>
                      </w:rPr>
                    </w:pPr>
                    <w:r>
                      <w:rPr>
                        <w:noProof/>
                      </w:rPr>
                      <w:t xml:space="preserve">Kosonen, K. (2017), </w:t>
                    </w:r>
                    <w:r>
                      <w:rPr>
                        <w:i/>
                        <w:iCs/>
                        <w:noProof/>
                      </w:rPr>
                      <w:t>Language of instruction in Southeast Asia. Background paper prepared for the 2016 Global Education Monitoring Report, Education for people and planet: Creating sustainable futures for all</w:t>
                    </w:r>
                    <w:r>
                      <w:rPr>
                        <w:noProof/>
                      </w:rPr>
                      <w:t xml:space="preserve">, UNESCO, Paris, </w:t>
                    </w:r>
                    <w:r>
                      <w:rPr>
                        <w:noProof/>
                        <w:color w:val="0000FF"/>
                        <w:u w:val="single"/>
                      </w:rPr>
                      <w:t>https://unesdoc.unesco.org/ark:/48223/pf0000259576</w:t>
                    </w:r>
                    <w:r>
                      <w:rPr>
                        <w:noProof/>
                      </w:rPr>
                      <w:t xml:space="preserve"> (accessed on 4 October 2021).</w:t>
                    </w:r>
                  </w:p>
                </w:tc>
                <w:tc>
                  <w:tcPr>
                    <w:tcW w:w="600" w:type="dxa"/>
                    <w:noWrap/>
                    <w:hideMark/>
                  </w:tcPr>
                  <w:p w14:paraId="01424CAD" w14:textId="77777777" w:rsidR="00307F9E" w:rsidRDefault="00307F9E">
                    <w:pPr>
                      <w:spacing w:before="100" w:beforeAutospacing="1" w:after="100" w:afterAutospacing="1"/>
                      <w:jc w:val="right"/>
                      <w:rPr>
                        <w:noProof/>
                      </w:rPr>
                    </w:pPr>
                    <w:r>
                      <w:rPr>
                        <w:noProof/>
                        <w:color w:val="000000"/>
                        <w:sz w:val="16"/>
                        <w:szCs w:val="16"/>
                      </w:rPr>
                      <w:t>[132]</w:t>
                    </w:r>
                  </w:p>
                </w:tc>
              </w:tr>
              <w:tr w:rsidR="00307F9E" w14:paraId="25880BC7" w14:textId="77777777">
                <w:trPr>
                  <w:divId w:val="465852184"/>
                </w:trPr>
                <w:tc>
                  <w:tcPr>
                    <w:tcW w:w="0" w:type="auto"/>
                    <w:hideMark/>
                  </w:tcPr>
                  <w:p w14:paraId="552DE34B" w14:textId="77777777" w:rsidR="00307F9E" w:rsidRDefault="00307F9E">
                    <w:pPr>
                      <w:pStyle w:val="Bibliography"/>
                      <w:rPr>
                        <w:noProof/>
                      </w:rPr>
                    </w:pPr>
                    <w:r>
                      <w:rPr>
                        <w:noProof/>
                      </w:rPr>
                      <w:t xml:space="preserve">Krashen, S. (1982), </w:t>
                    </w:r>
                    <w:r>
                      <w:rPr>
                        <w:i/>
                        <w:iCs/>
                        <w:noProof/>
                      </w:rPr>
                      <w:t>Principles and practice in Second Language Acquisition</w:t>
                    </w:r>
                    <w:r>
                      <w:rPr>
                        <w:noProof/>
                      </w:rPr>
                      <w:t>, Pergamon Press, Oxford.</w:t>
                    </w:r>
                  </w:p>
                </w:tc>
                <w:tc>
                  <w:tcPr>
                    <w:tcW w:w="600" w:type="dxa"/>
                    <w:noWrap/>
                    <w:hideMark/>
                  </w:tcPr>
                  <w:p w14:paraId="5C7592A8" w14:textId="77777777" w:rsidR="00307F9E" w:rsidRDefault="00307F9E">
                    <w:pPr>
                      <w:spacing w:before="100" w:beforeAutospacing="1" w:after="100" w:afterAutospacing="1"/>
                      <w:jc w:val="right"/>
                      <w:rPr>
                        <w:noProof/>
                      </w:rPr>
                    </w:pPr>
                    <w:r>
                      <w:rPr>
                        <w:noProof/>
                        <w:color w:val="000000"/>
                        <w:sz w:val="16"/>
                        <w:szCs w:val="16"/>
                      </w:rPr>
                      <w:t>[144]</w:t>
                    </w:r>
                  </w:p>
                </w:tc>
              </w:tr>
              <w:tr w:rsidR="00307F9E" w14:paraId="5A8B7A3E" w14:textId="77777777">
                <w:trPr>
                  <w:divId w:val="465852184"/>
                </w:trPr>
                <w:tc>
                  <w:tcPr>
                    <w:tcW w:w="0" w:type="auto"/>
                    <w:hideMark/>
                  </w:tcPr>
                  <w:p w14:paraId="6F38957A" w14:textId="77777777" w:rsidR="00307F9E" w:rsidRDefault="00307F9E">
                    <w:pPr>
                      <w:pStyle w:val="Bibliography"/>
                      <w:rPr>
                        <w:noProof/>
                      </w:rPr>
                    </w:pPr>
                    <w:r>
                      <w:rPr>
                        <w:noProof/>
                      </w:rPr>
                      <w:t xml:space="preserve">Leonard, W. and H. Kone (eds.) (2017), </w:t>
                    </w:r>
                    <w:r>
                      <w:rPr>
                        <w:i/>
                        <w:iCs/>
                        <w:noProof/>
                      </w:rPr>
                      <w:t>Supporting Indigenous language revitalisation through collaborative post-secondary proficiency-building curriculum</w:t>
                    </w:r>
                    <w:r>
                      <w:rPr>
                        <w:noProof/>
                      </w:rPr>
                      <w:t>, EL Publishing, London.</w:t>
                    </w:r>
                  </w:p>
                </w:tc>
                <w:tc>
                  <w:tcPr>
                    <w:tcW w:w="600" w:type="dxa"/>
                    <w:noWrap/>
                    <w:hideMark/>
                  </w:tcPr>
                  <w:p w14:paraId="68CB4E65" w14:textId="77777777" w:rsidR="00307F9E" w:rsidRDefault="00307F9E">
                    <w:pPr>
                      <w:spacing w:before="100" w:beforeAutospacing="1" w:after="100" w:afterAutospacing="1"/>
                      <w:jc w:val="right"/>
                      <w:rPr>
                        <w:noProof/>
                      </w:rPr>
                    </w:pPr>
                    <w:r>
                      <w:rPr>
                        <w:noProof/>
                        <w:color w:val="000000"/>
                        <w:sz w:val="16"/>
                        <w:szCs w:val="16"/>
                      </w:rPr>
                      <w:t>[209]</w:t>
                    </w:r>
                  </w:p>
                </w:tc>
              </w:tr>
              <w:tr w:rsidR="00307F9E" w14:paraId="2D7623B9" w14:textId="77777777">
                <w:trPr>
                  <w:divId w:val="465852184"/>
                </w:trPr>
                <w:tc>
                  <w:tcPr>
                    <w:tcW w:w="0" w:type="auto"/>
                    <w:hideMark/>
                  </w:tcPr>
                  <w:p w14:paraId="33DD7889" w14:textId="77777777" w:rsidR="00307F9E" w:rsidRDefault="00307F9E">
                    <w:pPr>
                      <w:pStyle w:val="Bibliography"/>
                      <w:rPr>
                        <w:noProof/>
                      </w:rPr>
                    </w:pPr>
                    <w:r>
                      <w:rPr>
                        <w:noProof/>
                      </w:rPr>
                      <w:t xml:space="preserve">Lester, K. (2013), “Red Dirt Curriculum: Re-imagining remote education”, </w:t>
                    </w:r>
                    <w:r>
                      <w:rPr>
                        <w:i/>
                        <w:iCs/>
                        <w:noProof/>
                      </w:rPr>
                      <w:t>Sidney Myer Rural Lecture 3</w:t>
                    </w:r>
                    <w:r>
                      <w:rPr>
                        <w:noProof/>
                      </w:rPr>
                      <w:t>.</w:t>
                    </w:r>
                  </w:p>
                </w:tc>
                <w:tc>
                  <w:tcPr>
                    <w:tcW w:w="600" w:type="dxa"/>
                    <w:noWrap/>
                    <w:hideMark/>
                  </w:tcPr>
                  <w:p w14:paraId="5265FBB5" w14:textId="77777777" w:rsidR="00307F9E" w:rsidRDefault="00307F9E">
                    <w:pPr>
                      <w:spacing w:before="100" w:beforeAutospacing="1" w:after="100" w:afterAutospacing="1"/>
                      <w:jc w:val="right"/>
                      <w:rPr>
                        <w:noProof/>
                      </w:rPr>
                    </w:pPr>
                    <w:r>
                      <w:rPr>
                        <w:noProof/>
                        <w:color w:val="000000"/>
                        <w:sz w:val="16"/>
                        <w:szCs w:val="16"/>
                      </w:rPr>
                      <w:t>[45]</w:t>
                    </w:r>
                  </w:p>
                </w:tc>
              </w:tr>
              <w:tr w:rsidR="00307F9E" w14:paraId="481A6964" w14:textId="77777777">
                <w:trPr>
                  <w:divId w:val="465852184"/>
                </w:trPr>
                <w:tc>
                  <w:tcPr>
                    <w:tcW w:w="0" w:type="auto"/>
                    <w:hideMark/>
                  </w:tcPr>
                  <w:p w14:paraId="2845494C" w14:textId="77777777" w:rsidR="00307F9E" w:rsidRDefault="00307F9E">
                    <w:pPr>
                      <w:pStyle w:val="Bibliography"/>
                      <w:rPr>
                        <w:noProof/>
                      </w:rPr>
                    </w:pPr>
                    <w:r>
                      <w:rPr>
                        <w:noProof/>
                      </w:rPr>
                      <w:t xml:space="preserve">Lindhom-Leary, K. and G. Borsato (2006), “Academic achievement”, in Genesee, F. et al. (eds.), </w:t>
                    </w:r>
                    <w:r>
                      <w:rPr>
                        <w:i/>
                        <w:iCs/>
                        <w:noProof/>
                      </w:rPr>
                      <w:t>Educating English language learners: A synthesis of research evidence</w:t>
                    </w:r>
                    <w:r>
                      <w:rPr>
                        <w:noProof/>
                      </w:rPr>
                      <w:t>, Cambridge University Press, Cambridge.</w:t>
                    </w:r>
                  </w:p>
                </w:tc>
                <w:tc>
                  <w:tcPr>
                    <w:tcW w:w="600" w:type="dxa"/>
                    <w:noWrap/>
                    <w:hideMark/>
                  </w:tcPr>
                  <w:p w14:paraId="0519C154" w14:textId="77777777" w:rsidR="00307F9E" w:rsidRDefault="00307F9E">
                    <w:pPr>
                      <w:spacing w:before="100" w:beforeAutospacing="1" w:after="100" w:afterAutospacing="1"/>
                      <w:jc w:val="right"/>
                      <w:rPr>
                        <w:noProof/>
                      </w:rPr>
                    </w:pPr>
                    <w:r>
                      <w:rPr>
                        <w:noProof/>
                        <w:color w:val="000000"/>
                        <w:sz w:val="16"/>
                        <w:szCs w:val="16"/>
                      </w:rPr>
                      <w:t>[139]</w:t>
                    </w:r>
                  </w:p>
                </w:tc>
              </w:tr>
              <w:tr w:rsidR="00307F9E" w14:paraId="140BB50D" w14:textId="77777777">
                <w:trPr>
                  <w:divId w:val="465852184"/>
                </w:trPr>
                <w:tc>
                  <w:tcPr>
                    <w:tcW w:w="0" w:type="auto"/>
                    <w:hideMark/>
                  </w:tcPr>
                  <w:p w14:paraId="3849EBCF" w14:textId="77777777" w:rsidR="00307F9E" w:rsidRPr="00307F9E" w:rsidRDefault="00307F9E">
                    <w:pPr>
                      <w:pStyle w:val="Bibliography"/>
                      <w:rPr>
                        <w:noProof/>
                        <w:lang w:val="fr-FR"/>
                      </w:rPr>
                    </w:pPr>
                    <w:r w:rsidRPr="00307F9E">
                      <w:rPr>
                        <w:noProof/>
                        <w:lang w:val="fr-FR"/>
                      </w:rPr>
                      <w:t xml:space="preserve">Louis Riel Institute (2020), </w:t>
                    </w:r>
                    <w:r w:rsidRPr="00307F9E">
                      <w:rPr>
                        <w:i/>
                        <w:iCs/>
                        <w:noProof/>
                        <w:lang w:val="fr-FR"/>
                      </w:rPr>
                      <w:t>Michif language</w:t>
                    </w:r>
                    <w:r w:rsidRPr="00307F9E">
                      <w:rPr>
                        <w:noProof/>
                        <w:lang w:val="fr-FR"/>
                      </w:rPr>
                      <w:t>.</w:t>
                    </w:r>
                  </w:p>
                </w:tc>
                <w:tc>
                  <w:tcPr>
                    <w:tcW w:w="600" w:type="dxa"/>
                    <w:noWrap/>
                    <w:hideMark/>
                  </w:tcPr>
                  <w:p w14:paraId="06E82CCF" w14:textId="77777777" w:rsidR="00307F9E" w:rsidRDefault="00307F9E">
                    <w:pPr>
                      <w:spacing w:before="100" w:beforeAutospacing="1" w:after="100" w:afterAutospacing="1"/>
                      <w:jc w:val="right"/>
                      <w:rPr>
                        <w:noProof/>
                      </w:rPr>
                    </w:pPr>
                    <w:r>
                      <w:rPr>
                        <w:noProof/>
                        <w:color w:val="000000"/>
                        <w:sz w:val="16"/>
                        <w:szCs w:val="16"/>
                      </w:rPr>
                      <w:t>[168]</w:t>
                    </w:r>
                  </w:p>
                </w:tc>
              </w:tr>
              <w:tr w:rsidR="00307F9E" w14:paraId="76A37BFD" w14:textId="77777777">
                <w:trPr>
                  <w:divId w:val="465852184"/>
                </w:trPr>
                <w:tc>
                  <w:tcPr>
                    <w:tcW w:w="0" w:type="auto"/>
                    <w:hideMark/>
                  </w:tcPr>
                  <w:p w14:paraId="202D81E0" w14:textId="77777777" w:rsidR="00307F9E" w:rsidRDefault="00307F9E">
                    <w:pPr>
                      <w:pStyle w:val="Bibliography"/>
                      <w:rPr>
                        <w:noProof/>
                      </w:rPr>
                    </w:pPr>
                    <w:r>
                      <w:rPr>
                        <w:noProof/>
                      </w:rPr>
                      <w:t xml:space="preserve">Lowe, K. et al. (2019), “Factors affecting the development of school and Indigenous community engagement: A systematic review”, </w:t>
                    </w:r>
                    <w:r>
                      <w:rPr>
                        <w:i/>
                        <w:iCs/>
                        <w:noProof/>
                      </w:rPr>
                      <w:t>The Australian Educational Researcher</w:t>
                    </w:r>
                    <w:r>
                      <w:rPr>
                        <w:noProof/>
                      </w:rPr>
                      <w:t xml:space="preserve">, Vol. 46/2, </w:t>
                    </w:r>
                    <w:r>
                      <w:rPr>
                        <w:noProof/>
                      </w:rPr>
                      <w:lastRenderedPageBreak/>
                      <w:t xml:space="preserve">pp. 253-271, </w:t>
                    </w:r>
                    <w:r>
                      <w:rPr>
                        <w:noProof/>
                        <w:color w:val="0000FF"/>
                        <w:u w:val="single"/>
                      </w:rPr>
                      <w:t>http://dx.doi.org/10.1007/s13384-019-00314-6</w:t>
                    </w:r>
                    <w:r>
                      <w:rPr>
                        <w:noProof/>
                      </w:rPr>
                      <w:t>.</w:t>
                    </w:r>
                  </w:p>
                </w:tc>
                <w:tc>
                  <w:tcPr>
                    <w:tcW w:w="600" w:type="dxa"/>
                    <w:noWrap/>
                    <w:hideMark/>
                  </w:tcPr>
                  <w:p w14:paraId="0CDC332A" w14:textId="77777777" w:rsidR="00307F9E" w:rsidRDefault="00307F9E">
                    <w:pPr>
                      <w:spacing w:before="100" w:beforeAutospacing="1" w:after="100" w:afterAutospacing="1"/>
                      <w:jc w:val="right"/>
                      <w:rPr>
                        <w:noProof/>
                      </w:rPr>
                    </w:pPr>
                    <w:r>
                      <w:rPr>
                        <w:noProof/>
                        <w:color w:val="000000"/>
                        <w:sz w:val="16"/>
                        <w:szCs w:val="16"/>
                      </w:rPr>
                      <w:lastRenderedPageBreak/>
                      <w:t>[201]</w:t>
                    </w:r>
                  </w:p>
                </w:tc>
              </w:tr>
              <w:tr w:rsidR="00307F9E" w14:paraId="450CFDFD" w14:textId="77777777">
                <w:trPr>
                  <w:divId w:val="465852184"/>
                </w:trPr>
                <w:tc>
                  <w:tcPr>
                    <w:tcW w:w="0" w:type="auto"/>
                    <w:hideMark/>
                  </w:tcPr>
                  <w:p w14:paraId="78D89FC7" w14:textId="77777777" w:rsidR="00307F9E" w:rsidRDefault="00307F9E">
                    <w:pPr>
                      <w:pStyle w:val="Bibliography"/>
                      <w:rPr>
                        <w:noProof/>
                      </w:rPr>
                    </w:pPr>
                    <w:r>
                      <w:rPr>
                        <w:noProof/>
                      </w:rPr>
                      <w:t xml:space="preserve">Lüpke, F. (2013), “Multilingualism on the ground”, in Lüpke, F. and A. Storch (eds.), </w:t>
                    </w:r>
                    <w:r>
                      <w:rPr>
                        <w:i/>
                        <w:iCs/>
                        <w:noProof/>
                      </w:rPr>
                      <w:t>Repertoires and choices in African languages</w:t>
                    </w:r>
                    <w:r>
                      <w:rPr>
                        <w:noProof/>
                      </w:rPr>
                      <w:t>, de Gruyter, Berlin.</w:t>
                    </w:r>
                  </w:p>
                </w:tc>
                <w:tc>
                  <w:tcPr>
                    <w:tcW w:w="600" w:type="dxa"/>
                    <w:noWrap/>
                    <w:hideMark/>
                  </w:tcPr>
                  <w:p w14:paraId="297693B3" w14:textId="77777777" w:rsidR="00307F9E" w:rsidRDefault="00307F9E">
                    <w:pPr>
                      <w:spacing w:before="100" w:beforeAutospacing="1" w:after="100" w:afterAutospacing="1"/>
                      <w:jc w:val="right"/>
                      <w:rPr>
                        <w:noProof/>
                      </w:rPr>
                    </w:pPr>
                    <w:r>
                      <w:rPr>
                        <w:noProof/>
                        <w:color w:val="000000"/>
                        <w:sz w:val="16"/>
                        <w:szCs w:val="16"/>
                      </w:rPr>
                      <w:t>[159]</w:t>
                    </w:r>
                  </w:p>
                </w:tc>
              </w:tr>
              <w:tr w:rsidR="00307F9E" w14:paraId="6BE293BA" w14:textId="77777777">
                <w:trPr>
                  <w:divId w:val="465852184"/>
                </w:trPr>
                <w:tc>
                  <w:tcPr>
                    <w:tcW w:w="0" w:type="auto"/>
                    <w:hideMark/>
                  </w:tcPr>
                  <w:p w14:paraId="1E78A316" w14:textId="77777777" w:rsidR="00307F9E" w:rsidRDefault="00307F9E">
                    <w:pPr>
                      <w:pStyle w:val="Bibliography"/>
                      <w:rPr>
                        <w:noProof/>
                      </w:rPr>
                    </w:pPr>
                    <w:r>
                      <w:rPr>
                        <w:noProof/>
                      </w:rPr>
                      <w:t xml:space="preserve">MacDonald, M. (2019), “Carolyn Bennett lauds ’amazing’ Mi’kmaq graduation rate in Nova Scotia, signs new $600-million agreement”, </w:t>
                    </w:r>
                    <w:r>
                      <w:rPr>
                        <w:i/>
                        <w:iCs/>
                        <w:noProof/>
                      </w:rPr>
                      <w:t>Global News</w:t>
                    </w:r>
                    <w:r>
                      <w:rPr>
                        <w:noProof/>
                      </w:rPr>
                      <w:t xml:space="preserve">, </w:t>
                    </w:r>
                    <w:r>
                      <w:rPr>
                        <w:noProof/>
                        <w:color w:val="0000FF"/>
                        <w:u w:val="single"/>
                      </w:rPr>
                      <w:t>https://globalnews.ca/news/5056368/mikmaq-education-authority-ns/</w:t>
                    </w:r>
                    <w:r>
                      <w:rPr>
                        <w:noProof/>
                      </w:rPr>
                      <w:t xml:space="preserve"> (accessed on 4 October 2021).</w:t>
                    </w:r>
                  </w:p>
                </w:tc>
                <w:tc>
                  <w:tcPr>
                    <w:tcW w:w="600" w:type="dxa"/>
                    <w:noWrap/>
                    <w:hideMark/>
                  </w:tcPr>
                  <w:p w14:paraId="1515441C" w14:textId="77777777" w:rsidR="00307F9E" w:rsidRDefault="00307F9E">
                    <w:pPr>
                      <w:spacing w:before="100" w:beforeAutospacing="1" w:after="100" w:afterAutospacing="1"/>
                      <w:jc w:val="right"/>
                      <w:rPr>
                        <w:noProof/>
                      </w:rPr>
                    </w:pPr>
                    <w:r>
                      <w:rPr>
                        <w:noProof/>
                        <w:color w:val="000000"/>
                        <w:sz w:val="16"/>
                        <w:szCs w:val="16"/>
                      </w:rPr>
                      <w:t>[57]</w:t>
                    </w:r>
                  </w:p>
                </w:tc>
              </w:tr>
              <w:tr w:rsidR="00307F9E" w14:paraId="60EC0BC5" w14:textId="77777777">
                <w:trPr>
                  <w:divId w:val="465852184"/>
                </w:trPr>
                <w:tc>
                  <w:tcPr>
                    <w:tcW w:w="0" w:type="auto"/>
                    <w:hideMark/>
                  </w:tcPr>
                  <w:p w14:paraId="6E4A3131" w14:textId="77777777" w:rsidR="00307F9E" w:rsidRDefault="00307F9E">
                    <w:pPr>
                      <w:pStyle w:val="Bibliography"/>
                      <w:rPr>
                        <w:noProof/>
                      </w:rPr>
                    </w:pPr>
                    <w:r>
                      <w:rPr>
                        <w:noProof/>
                      </w:rPr>
                      <w:t xml:space="preserve">Maclagan, M. (2010), “The English(es) of New Zealand”, in Kirkpatrick, A. (ed.), </w:t>
                    </w:r>
                    <w:r>
                      <w:rPr>
                        <w:i/>
                        <w:iCs/>
                        <w:noProof/>
                      </w:rPr>
                      <w:t>The Routledge Handbook of World Englishes</w:t>
                    </w:r>
                    <w:r>
                      <w:rPr>
                        <w:noProof/>
                      </w:rPr>
                      <w:t>, Routledge, London.</w:t>
                    </w:r>
                  </w:p>
                </w:tc>
                <w:tc>
                  <w:tcPr>
                    <w:tcW w:w="600" w:type="dxa"/>
                    <w:noWrap/>
                    <w:hideMark/>
                  </w:tcPr>
                  <w:p w14:paraId="2F4E10EC" w14:textId="77777777" w:rsidR="00307F9E" w:rsidRDefault="00307F9E">
                    <w:pPr>
                      <w:spacing w:before="100" w:beforeAutospacing="1" w:after="100" w:afterAutospacing="1"/>
                      <w:jc w:val="right"/>
                      <w:rPr>
                        <w:noProof/>
                      </w:rPr>
                    </w:pPr>
                    <w:r>
                      <w:rPr>
                        <w:noProof/>
                        <w:color w:val="000000"/>
                        <w:sz w:val="16"/>
                        <w:szCs w:val="16"/>
                      </w:rPr>
                      <w:t>[171]</w:t>
                    </w:r>
                  </w:p>
                </w:tc>
              </w:tr>
              <w:tr w:rsidR="00307F9E" w14:paraId="7B8EC4D3" w14:textId="77777777">
                <w:trPr>
                  <w:divId w:val="465852184"/>
                </w:trPr>
                <w:tc>
                  <w:tcPr>
                    <w:tcW w:w="0" w:type="auto"/>
                    <w:hideMark/>
                  </w:tcPr>
                  <w:p w14:paraId="5A8C5CD5" w14:textId="77777777" w:rsidR="00307F9E" w:rsidRDefault="00307F9E">
                    <w:pPr>
                      <w:pStyle w:val="Bibliography"/>
                      <w:rPr>
                        <w:noProof/>
                      </w:rPr>
                    </w:pPr>
                    <w:r>
                      <w:rPr>
                        <w:noProof/>
                      </w:rPr>
                      <w:t xml:space="preserve">MacSwan, J. and L. Pray (2005), “Learning English Bilingually: Age of Onset of Exposure and Rate of Acquisition Among English Language Learners in a Bilingual Education Program”, </w:t>
                    </w:r>
                    <w:r>
                      <w:rPr>
                        <w:i/>
                        <w:iCs/>
                        <w:noProof/>
                      </w:rPr>
                      <w:t>Bilingual Research Journal</w:t>
                    </w:r>
                    <w:r>
                      <w:rPr>
                        <w:noProof/>
                      </w:rPr>
                      <w:t xml:space="preserve">, Vol. 29/3, pp. 653-678, </w:t>
                    </w:r>
                    <w:r>
                      <w:rPr>
                        <w:noProof/>
                        <w:color w:val="0000FF"/>
                        <w:u w:val="single"/>
                      </w:rPr>
                      <w:t>http://dx.doi.org/10.1080/15235882.2005.10162857</w:t>
                    </w:r>
                    <w:r>
                      <w:rPr>
                        <w:noProof/>
                      </w:rPr>
                      <w:t>.</w:t>
                    </w:r>
                  </w:p>
                </w:tc>
                <w:tc>
                  <w:tcPr>
                    <w:tcW w:w="600" w:type="dxa"/>
                    <w:noWrap/>
                    <w:hideMark/>
                  </w:tcPr>
                  <w:p w14:paraId="55D2302B" w14:textId="77777777" w:rsidR="00307F9E" w:rsidRDefault="00307F9E">
                    <w:pPr>
                      <w:spacing w:before="100" w:beforeAutospacing="1" w:after="100" w:afterAutospacing="1"/>
                      <w:jc w:val="right"/>
                      <w:rPr>
                        <w:noProof/>
                      </w:rPr>
                    </w:pPr>
                    <w:r>
                      <w:rPr>
                        <w:noProof/>
                        <w:color w:val="000000"/>
                        <w:sz w:val="16"/>
                        <w:szCs w:val="16"/>
                      </w:rPr>
                      <w:t>[149]</w:t>
                    </w:r>
                  </w:p>
                </w:tc>
              </w:tr>
              <w:tr w:rsidR="00307F9E" w14:paraId="68F31E1E" w14:textId="77777777">
                <w:trPr>
                  <w:divId w:val="465852184"/>
                </w:trPr>
                <w:tc>
                  <w:tcPr>
                    <w:tcW w:w="0" w:type="auto"/>
                    <w:hideMark/>
                  </w:tcPr>
                  <w:p w14:paraId="2F21BF60" w14:textId="77777777" w:rsidR="00307F9E" w:rsidRDefault="00307F9E">
                    <w:pPr>
                      <w:pStyle w:val="Bibliography"/>
                      <w:rPr>
                        <w:noProof/>
                      </w:rPr>
                    </w:pPr>
                    <w:r>
                      <w:rPr>
                        <w:noProof/>
                      </w:rPr>
                      <w:t xml:space="preserve">Macswan, J. et al. (2017), “Three Theories of the Effects of Language Education Programs: An Empirical Evaluation of Bilingual and English-Only Policies”, </w:t>
                    </w:r>
                    <w:r>
                      <w:rPr>
                        <w:i/>
                        <w:iCs/>
                        <w:noProof/>
                      </w:rPr>
                      <w:t>Annual Review of Applied Linguistics</w:t>
                    </w:r>
                    <w:r>
                      <w:rPr>
                        <w:noProof/>
                      </w:rPr>
                      <w:t xml:space="preserve">, Vol. 37, </w:t>
                    </w:r>
                    <w:r>
                      <w:rPr>
                        <w:noProof/>
                        <w:color w:val="0000FF"/>
                        <w:u w:val="single"/>
                      </w:rPr>
                      <w:t>https://doi.org/10.1017/S0267190517000137</w:t>
                    </w:r>
                    <w:r>
                      <w:rPr>
                        <w:noProof/>
                      </w:rPr>
                      <w:t>.</w:t>
                    </w:r>
                  </w:p>
                </w:tc>
                <w:tc>
                  <w:tcPr>
                    <w:tcW w:w="600" w:type="dxa"/>
                    <w:noWrap/>
                    <w:hideMark/>
                  </w:tcPr>
                  <w:p w14:paraId="3CB78EEE" w14:textId="77777777" w:rsidR="00307F9E" w:rsidRDefault="00307F9E">
                    <w:pPr>
                      <w:spacing w:before="100" w:beforeAutospacing="1" w:after="100" w:afterAutospacing="1"/>
                      <w:jc w:val="right"/>
                      <w:rPr>
                        <w:noProof/>
                      </w:rPr>
                    </w:pPr>
                    <w:r>
                      <w:rPr>
                        <w:noProof/>
                        <w:color w:val="000000"/>
                        <w:sz w:val="16"/>
                        <w:szCs w:val="16"/>
                      </w:rPr>
                      <w:t>[116]</w:t>
                    </w:r>
                  </w:p>
                </w:tc>
              </w:tr>
              <w:tr w:rsidR="00307F9E" w14:paraId="4123E172" w14:textId="77777777">
                <w:trPr>
                  <w:divId w:val="465852184"/>
                </w:trPr>
                <w:tc>
                  <w:tcPr>
                    <w:tcW w:w="0" w:type="auto"/>
                    <w:hideMark/>
                  </w:tcPr>
                  <w:p w14:paraId="51D7670C" w14:textId="77777777" w:rsidR="00307F9E" w:rsidRDefault="00307F9E">
                    <w:pPr>
                      <w:pStyle w:val="Bibliography"/>
                      <w:rPr>
                        <w:noProof/>
                      </w:rPr>
                    </w:pPr>
                    <w:r>
                      <w:rPr>
                        <w:noProof/>
                      </w:rPr>
                      <w:t xml:space="preserve">Manitoba Education Citizenship and Youth (2007), </w:t>
                    </w:r>
                    <w:r>
                      <w:rPr>
                        <w:i/>
                        <w:iCs/>
                        <w:noProof/>
                      </w:rPr>
                      <w:t>Kindergarten to Grade 12 Aboriginal Languages and Cultures: Manitoba curriculum framework of outcomes</w:t>
                    </w:r>
                    <w:r>
                      <w:rPr>
                        <w:noProof/>
                      </w:rPr>
                      <w:t xml:space="preserve">, Government of Manitoba, </w:t>
                    </w:r>
                    <w:r>
                      <w:rPr>
                        <w:noProof/>
                        <w:color w:val="0000FF"/>
                        <w:u w:val="single"/>
                      </w:rPr>
                      <w:t>https://www.edu.gov.mb.ca/k12/abedu/framework/k-12_ab_lang.pdf</w:t>
                    </w:r>
                    <w:r>
                      <w:rPr>
                        <w:noProof/>
                      </w:rPr>
                      <w:t xml:space="preserve"> (accessed on 4 October 2021).</w:t>
                    </w:r>
                  </w:p>
                </w:tc>
                <w:tc>
                  <w:tcPr>
                    <w:tcW w:w="600" w:type="dxa"/>
                    <w:noWrap/>
                    <w:hideMark/>
                  </w:tcPr>
                  <w:p w14:paraId="4F9924C1" w14:textId="77777777" w:rsidR="00307F9E" w:rsidRDefault="00307F9E">
                    <w:pPr>
                      <w:spacing w:before="100" w:beforeAutospacing="1" w:after="100" w:afterAutospacing="1"/>
                      <w:jc w:val="right"/>
                      <w:rPr>
                        <w:noProof/>
                      </w:rPr>
                    </w:pPr>
                    <w:r>
                      <w:rPr>
                        <w:noProof/>
                        <w:color w:val="000000"/>
                        <w:sz w:val="16"/>
                        <w:szCs w:val="16"/>
                      </w:rPr>
                      <w:t>[92]</w:t>
                    </w:r>
                  </w:p>
                </w:tc>
              </w:tr>
              <w:tr w:rsidR="00307F9E" w14:paraId="7C1271A4" w14:textId="77777777">
                <w:trPr>
                  <w:divId w:val="465852184"/>
                </w:trPr>
                <w:tc>
                  <w:tcPr>
                    <w:tcW w:w="0" w:type="auto"/>
                    <w:hideMark/>
                  </w:tcPr>
                  <w:p w14:paraId="188CAA62" w14:textId="77777777" w:rsidR="00307F9E" w:rsidRDefault="00307F9E">
                    <w:pPr>
                      <w:pStyle w:val="Bibliography"/>
                      <w:rPr>
                        <w:noProof/>
                      </w:rPr>
                    </w:pPr>
                    <w:r>
                      <w:rPr>
                        <w:noProof/>
                      </w:rPr>
                      <w:t xml:space="preserve">Māori Medium Workforce Reference Group (2012), </w:t>
                    </w:r>
                    <w:r>
                      <w:rPr>
                        <w:i/>
                        <w:iCs/>
                        <w:noProof/>
                      </w:rPr>
                      <w:t>Report of the Māori Medium Workforce Reference Group into strengthening the Māori Medium Education Workforce</w:t>
                    </w:r>
                    <w:r>
                      <w:rPr>
                        <w:noProof/>
                      </w:rPr>
                      <w:t xml:space="preserve">, Ministry of Education, Wellington, </w:t>
                    </w:r>
                    <w:r>
                      <w:rPr>
                        <w:noProof/>
                        <w:color w:val="0000FF"/>
                        <w:u w:val="single"/>
                      </w:rPr>
                      <w:t>http://www.educationcounts.govt.nz/publications/maori/english-medium-education/report-of-the-maori-medium-workforce-reference-group-into-strengthening-the-maori-medium-education-workforce-2012/</w:t>
                    </w:r>
                    <w:r>
                      <w:rPr>
                        <w:noProof/>
                      </w:rPr>
                      <w:t xml:space="preserve"> (accessed on 4 October 2021).</w:t>
                    </w:r>
                  </w:p>
                </w:tc>
                <w:tc>
                  <w:tcPr>
                    <w:tcW w:w="600" w:type="dxa"/>
                    <w:noWrap/>
                    <w:hideMark/>
                  </w:tcPr>
                  <w:p w14:paraId="67712E84" w14:textId="77777777" w:rsidR="00307F9E" w:rsidRDefault="00307F9E">
                    <w:pPr>
                      <w:spacing w:before="100" w:beforeAutospacing="1" w:after="100" w:afterAutospacing="1"/>
                      <w:jc w:val="right"/>
                      <w:rPr>
                        <w:noProof/>
                      </w:rPr>
                    </w:pPr>
                    <w:r>
                      <w:rPr>
                        <w:noProof/>
                        <w:color w:val="000000"/>
                        <w:sz w:val="16"/>
                        <w:szCs w:val="16"/>
                      </w:rPr>
                      <w:t>[206]</w:t>
                    </w:r>
                  </w:p>
                </w:tc>
              </w:tr>
              <w:tr w:rsidR="00307F9E" w14:paraId="694B8063" w14:textId="77777777">
                <w:trPr>
                  <w:divId w:val="465852184"/>
                </w:trPr>
                <w:tc>
                  <w:tcPr>
                    <w:tcW w:w="0" w:type="auto"/>
                    <w:hideMark/>
                  </w:tcPr>
                  <w:p w14:paraId="6A9E8BCC" w14:textId="77777777" w:rsidR="00307F9E" w:rsidRDefault="00307F9E">
                    <w:pPr>
                      <w:pStyle w:val="Bibliography"/>
                      <w:rPr>
                        <w:noProof/>
                      </w:rPr>
                    </w:pPr>
                    <w:r>
                      <w:rPr>
                        <w:noProof/>
                      </w:rPr>
                      <w:t xml:space="preserve">Marnmion, D., K. Obata and J. Troy (2014), </w:t>
                    </w:r>
                    <w:r>
                      <w:rPr>
                        <w:i/>
                        <w:iCs/>
                        <w:noProof/>
                      </w:rPr>
                      <w:t>Community, identity, well-being: The report of the second national Indigenous languages survey</w:t>
                    </w:r>
                    <w:r>
                      <w:rPr>
                        <w:noProof/>
                      </w:rPr>
                      <w:t>, Australian Institute for Aboriginal and Torres Strait Islander Studies, Canberra.</w:t>
                    </w:r>
                  </w:p>
                </w:tc>
                <w:tc>
                  <w:tcPr>
                    <w:tcW w:w="600" w:type="dxa"/>
                    <w:noWrap/>
                    <w:hideMark/>
                  </w:tcPr>
                  <w:p w14:paraId="5F660E9D" w14:textId="77777777" w:rsidR="00307F9E" w:rsidRDefault="00307F9E">
                    <w:pPr>
                      <w:spacing w:before="100" w:beforeAutospacing="1" w:after="100" w:afterAutospacing="1"/>
                      <w:jc w:val="right"/>
                      <w:rPr>
                        <w:noProof/>
                      </w:rPr>
                    </w:pPr>
                    <w:r>
                      <w:rPr>
                        <w:noProof/>
                        <w:color w:val="000000"/>
                        <w:sz w:val="16"/>
                        <w:szCs w:val="16"/>
                      </w:rPr>
                      <w:t>[13]</w:t>
                    </w:r>
                  </w:p>
                </w:tc>
              </w:tr>
              <w:tr w:rsidR="00307F9E" w14:paraId="770157B9" w14:textId="77777777">
                <w:trPr>
                  <w:divId w:val="465852184"/>
                </w:trPr>
                <w:tc>
                  <w:tcPr>
                    <w:tcW w:w="0" w:type="auto"/>
                    <w:hideMark/>
                  </w:tcPr>
                  <w:p w14:paraId="108950A0" w14:textId="77777777" w:rsidR="00307F9E" w:rsidRDefault="00307F9E">
                    <w:pPr>
                      <w:pStyle w:val="Bibliography"/>
                      <w:rPr>
                        <w:noProof/>
                      </w:rPr>
                    </w:pPr>
                    <w:r>
                      <w:rPr>
                        <w:noProof/>
                      </w:rPr>
                      <w:t xml:space="preserve">Marshall Jarrett, A. (2003), “Amy Marshall Jarrett”, in </w:t>
                    </w:r>
                    <w:r>
                      <w:rPr>
                        <w:i/>
                        <w:iCs/>
                        <w:noProof/>
                      </w:rPr>
                      <w:t>Aboriginal Women’s Heritage: Nambucca</w:t>
                    </w:r>
                    <w:r>
                      <w:rPr>
                        <w:noProof/>
                      </w:rPr>
                      <w:t xml:space="preserve">, NSW National Parks and Wildlife Service, Hurstville, NSW, </w:t>
                    </w:r>
                    <w:r>
                      <w:rPr>
                        <w:noProof/>
                        <w:color w:val="0000FF"/>
                        <w:u w:val="single"/>
                      </w:rPr>
                      <w:t>https://www.heritage.nsw.gov.au/assets/Uploads/publications/518/aboriginal-womens-heritage-nambucca-060062.pdf</w:t>
                    </w:r>
                    <w:r>
                      <w:rPr>
                        <w:noProof/>
                      </w:rPr>
                      <w:t xml:space="preserve"> (accessed on 4 October 2021).</w:t>
                    </w:r>
                  </w:p>
                </w:tc>
                <w:tc>
                  <w:tcPr>
                    <w:tcW w:w="600" w:type="dxa"/>
                    <w:noWrap/>
                    <w:hideMark/>
                  </w:tcPr>
                  <w:p w14:paraId="7EE6CADC" w14:textId="77777777" w:rsidR="00307F9E" w:rsidRDefault="00307F9E">
                    <w:pPr>
                      <w:spacing w:before="100" w:beforeAutospacing="1" w:after="100" w:afterAutospacing="1"/>
                      <w:jc w:val="right"/>
                      <w:rPr>
                        <w:noProof/>
                      </w:rPr>
                    </w:pPr>
                    <w:r>
                      <w:rPr>
                        <w:noProof/>
                        <w:color w:val="000000"/>
                        <w:sz w:val="16"/>
                        <w:szCs w:val="16"/>
                      </w:rPr>
                      <w:t>[47]</w:t>
                    </w:r>
                  </w:p>
                </w:tc>
              </w:tr>
              <w:tr w:rsidR="00307F9E" w14:paraId="04BC4180" w14:textId="77777777">
                <w:trPr>
                  <w:divId w:val="465852184"/>
                </w:trPr>
                <w:tc>
                  <w:tcPr>
                    <w:tcW w:w="0" w:type="auto"/>
                    <w:hideMark/>
                  </w:tcPr>
                  <w:p w14:paraId="098F5384" w14:textId="77777777" w:rsidR="00307F9E" w:rsidRDefault="00307F9E">
                    <w:pPr>
                      <w:pStyle w:val="Bibliography"/>
                      <w:rPr>
                        <w:noProof/>
                      </w:rPr>
                    </w:pPr>
                    <w:r>
                      <w:rPr>
                        <w:noProof/>
                      </w:rPr>
                      <w:t xml:space="preserve">Martin, I. (2019), “Nunavut education at a crossroads: reflections on Bill 25”, </w:t>
                    </w:r>
                    <w:r>
                      <w:rPr>
                        <w:i/>
                        <w:iCs/>
                        <w:noProof/>
                      </w:rPr>
                      <w:t>Nunatsiaq News</w:t>
                    </w:r>
                    <w:r>
                      <w:rPr>
                        <w:noProof/>
                      </w:rPr>
                      <w:t xml:space="preserve">, </w:t>
                    </w:r>
                    <w:r>
                      <w:rPr>
                        <w:noProof/>
                        <w:color w:val="0000FF"/>
                        <w:u w:val="single"/>
                      </w:rPr>
                      <w:t>https://nunatsiaq.com/stories/article/nunavut-education-at-a-crossroads-reflections-on-bill-25/</w:t>
                    </w:r>
                    <w:r>
                      <w:rPr>
                        <w:noProof/>
                      </w:rPr>
                      <w:t xml:space="preserve"> (accessed on 4 October 2021).</w:t>
                    </w:r>
                  </w:p>
                </w:tc>
                <w:tc>
                  <w:tcPr>
                    <w:tcW w:w="600" w:type="dxa"/>
                    <w:noWrap/>
                    <w:hideMark/>
                  </w:tcPr>
                  <w:p w14:paraId="5A839371" w14:textId="77777777" w:rsidR="00307F9E" w:rsidRDefault="00307F9E">
                    <w:pPr>
                      <w:spacing w:before="100" w:beforeAutospacing="1" w:after="100" w:afterAutospacing="1"/>
                      <w:jc w:val="right"/>
                      <w:rPr>
                        <w:noProof/>
                      </w:rPr>
                    </w:pPr>
                    <w:r>
                      <w:rPr>
                        <w:noProof/>
                        <w:color w:val="000000"/>
                        <w:sz w:val="16"/>
                        <w:szCs w:val="16"/>
                      </w:rPr>
                      <w:t>[96]</w:t>
                    </w:r>
                  </w:p>
                </w:tc>
              </w:tr>
              <w:tr w:rsidR="00307F9E" w14:paraId="233DEAB5" w14:textId="77777777">
                <w:trPr>
                  <w:divId w:val="465852184"/>
                </w:trPr>
                <w:tc>
                  <w:tcPr>
                    <w:tcW w:w="0" w:type="auto"/>
                    <w:hideMark/>
                  </w:tcPr>
                  <w:p w14:paraId="4529911C" w14:textId="77777777" w:rsidR="00307F9E" w:rsidRDefault="00307F9E">
                    <w:pPr>
                      <w:pStyle w:val="Bibliography"/>
                      <w:rPr>
                        <w:noProof/>
                      </w:rPr>
                    </w:pPr>
                    <w:r>
                      <w:rPr>
                        <w:noProof/>
                      </w:rPr>
                      <w:t xml:space="preserve">May, S., R. Hill and S. Tiakiwai (2004), </w:t>
                    </w:r>
                    <w:r>
                      <w:rPr>
                        <w:i/>
                        <w:iCs/>
                        <w:noProof/>
                      </w:rPr>
                      <w:t>Bilingual/immersion education: Indicators of good practice - Final report to the Minsitry of Education</w:t>
                    </w:r>
                    <w:r>
                      <w:rPr>
                        <w:noProof/>
                      </w:rPr>
                      <w:t xml:space="preserve">, Wilf Malcolm Institute of Educational Research, School of Education, Waikato University, </w:t>
                    </w:r>
                    <w:r>
                      <w:rPr>
                        <w:noProof/>
                        <w:color w:val="0000FF"/>
                        <w:u w:val="single"/>
                      </w:rPr>
                      <w:t>https://www.educationcounts.govt.nz/__data/assets/pdf_file/0009/6957/bilingual-education.pdf</w:t>
                    </w:r>
                    <w:r>
                      <w:rPr>
                        <w:noProof/>
                      </w:rPr>
                      <w:t xml:space="preserve"> (accessed on 4 October 2021).</w:t>
                    </w:r>
                  </w:p>
                </w:tc>
                <w:tc>
                  <w:tcPr>
                    <w:tcW w:w="600" w:type="dxa"/>
                    <w:noWrap/>
                    <w:hideMark/>
                  </w:tcPr>
                  <w:p w14:paraId="66B0AF31" w14:textId="77777777" w:rsidR="00307F9E" w:rsidRDefault="00307F9E">
                    <w:pPr>
                      <w:spacing w:before="100" w:beforeAutospacing="1" w:after="100" w:afterAutospacing="1"/>
                      <w:jc w:val="right"/>
                      <w:rPr>
                        <w:noProof/>
                      </w:rPr>
                    </w:pPr>
                    <w:r>
                      <w:rPr>
                        <w:noProof/>
                        <w:color w:val="000000"/>
                        <w:sz w:val="16"/>
                        <w:szCs w:val="16"/>
                      </w:rPr>
                      <w:t>[141]</w:t>
                    </w:r>
                  </w:p>
                </w:tc>
              </w:tr>
              <w:tr w:rsidR="00307F9E" w14:paraId="169D59D0" w14:textId="77777777">
                <w:trPr>
                  <w:divId w:val="465852184"/>
                </w:trPr>
                <w:tc>
                  <w:tcPr>
                    <w:tcW w:w="0" w:type="auto"/>
                    <w:hideMark/>
                  </w:tcPr>
                  <w:p w14:paraId="1961D78E" w14:textId="77777777" w:rsidR="00307F9E" w:rsidRDefault="00307F9E">
                    <w:pPr>
                      <w:pStyle w:val="Bibliography"/>
                      <w:rPr>
                        <w:noProof/>
                      </w:rPr>
                    </w:pPr>
                    <w:r>
                      <w:rPr>
                        <w:noProof/>
                      </w:rPr>
                      <w:t xml:space="preserve">May, S., A. Jang-Jones and A. McGregor (2019), </w:t>
                    </w:r>
                    <w:r>
                      <w:rPr>
                        <w:i/>
                        <w:iCs/>
                        <w:noProof/>
                      </w:rPr>
                      <w:t>PISA (2018), New Zealand Summary Report. System Performance and Equity</w:t>
                    </w:r>
                    <w:r>
                      <w:rPr>
                        <w:noProof/>
                      </w:rPr>
                      <w:t xml:space="preserve">, Ministry of Education, Wellington, </w:t>
                    </w:r>
                    <w:r>
                      <w:rPr>
                        <w:noProof/>
                        <w:color w:val="0000FF"/>
                        <w:u w:val="single"/>
                      </w:rPr>
                      <w:lastRenderedPageBreak/>
                      <w:t>https://www.educationcounts.govt.nz/__data/assets/pdf_file/0006/196629/PISA-2018-NZ-Summary-Report.pdf</w:t>
                    </w:r>
                    <w:r>
                      <w:rPr>
                        <w:noProof/>
                      </w:rPr>
                      <w:t xml:space="preserve"> (accessed on 4 October 2021).</w:t>
                    </w:r>
                  </w:p>
                </w:tc>
                <w:tc>
                  <w:tcPr>
                    <w:tcW w:w="600" w:type="dxa"/>
                    <w:noWrap/>
                    <w:hideMark/>
                  </w:tcPr>
                  <w:p w14:paraId="59972618" w14:textId="77777777" w:rsidR="00307F9E" w:rsidRDefault="00307F9E">
                    <w:pPr>
                      <w:spacing w:before="100" w:beforeAutospacing="1" w:after="100" w:afterAutospacing="1"/>
                      <w:jc w:val="right"/>
                      <w:rPr>
                        <w:noProof/>
                      </w:rPr>
                    </w:pPr>
                    <w:r>
                      <w:rPr>
                        <w:noProof/>
                        <w:color w:val="000000"/>
                        <w:sz w:val="16"/>
                        <w:szCs w:val="16"/>
                      </w:rPr>
                      <w:lastRenderedPageBreak/>
                      <w:t>[61]</w:t>
                    </w:r>
                  </w:p>
                </w:tc>
              </w:tr>
              <w:tr w:rsidR="00307F9E" w14:paraId="6301CAB9" w14:textId="77777777">
                <w:trPr>
                  <w:divId w:val="465852184"/>
                </w:trPr>
                <w:tc>
                  <w:tcPr>
                    <w:tcW w:w="0" w:type="auto"/>
                    <w:hideMark/>
                  </w:tcPr>
                  <w:p w14:paraId="2D8B340A" w14:textId="77777777" w:rsidR="00307F9E" w:rsidRDefault="00307F9E">
                    <w:pPr>
                      <w:pStyle w:val="Bibliography"/>
                      <w:rPr>
                        <w:noProof/>
                      </w:rPr>
                    </w:pPr>
                    <w:r>
                      <w:rPr>
                        <w:noProof/>
                      </w:rPr>
                      <w:t xml:space="preserve">McIvor, O., A. Napoleon and K. Dickie (2009), “Language and culture as protective factors for at risk communities”, </w:t>
                    </w:r>
                    <w:r>
                      <w:rPr>
                        <w:i/>
                        <w:iCs/>
                        <w:noProof/>
                      </w:rPr>
                      <w:t>Journal of Aboriginal Health</w:t>
                    </w:r>
                    <w:r>
                      <w:rPr>
                        <w:noProof/>
                      </w:rPr>
                      <w:t>, Vol. 5/1.</w:t>
                    </w:r>
                  </w:p>
                </w:tc>
                <w:tc>
                  <w:tcPr>
                    <w:tcW w:w="600" w:type="dxa"/>
                    <w:noWrap/>
                    <w:hideMark/>
                  </w:tcPr>
                  <w:p w14:paraId="5058354E" w14:textId="77777777" w:rsidR="00307F9E" w:rsidRDefault="00307F9E">
                    <w:pPr>
                      <w:spacing w:before="100" w:beforeAutospacing="1" w:after="100" w:afterAutospacing="1"/>
                      <w:jc w:val="right"/>
                      <w:rPr>
                        <w:noProof/>
                      </w:rPr>
                    </w:pPr>
                    <w:r>
                      <w:rPr>
                        <w:noProof/>
                        <w:color w:val="000000"/>
                        <w:sz w:val="16"/>
                        <w:szCs w:val="16"/>
                      </w:rPr>
                      <w:t>[27]</w:t>
                    </w:r>
                  </w:p>
                </w:tc>
              </w:tr>
              <w:tr w:rsidR="00307F9E" w14:paraId="2A3E7A44" w14:textId="77777777">
                <w:trPr>
                  <w:divId w:val="465852184"/>
                </w:trPr>
                <w:tc>
                  <w:tcPr>
                    <w:tcW w:w="0" w:type="auto"/>
                    <w:hideMark/>
                  </w:tcPr>
                  <w:p w14:paraId="56CB0FCB" w14:textId="77777777" w:rsidR="00307F9E" w:rsidRDefault="00307F9E">
                    <w:pPr>
                      <w:pStyle w:val="Bibliography"/>
                      <w:rPr>
                        <w:noProof/>
                      </w:rPr>
                    </w:pPr>
                    <w:r>
                      <w:rPr>
                        <w:noProof/>
                      </w:rPr>
                      <w:t xml:space="preserve">McIvor, O., W. Napoleon and K. Dickie (2009), “Language and culture as protective factors for at risk communities”, </w:t>
                    </w:r>
                    <w:r>
                      <w:rPr>
                        <w:i/>
                        <w:iCs/>
                        <w:noProof/>
                      </w:rPr>
                      <w:t>Journal of Aboriginal Health</w:t>
                    </w:r>
                    <w:r>
                      <w:rPr>
                        <w:noProof/>
                      </w:rPr>
                      <w:t>, Vol. 5/1.</w:t>
                    </w:r>
                  </w:p>
                </w:tc>
                <w:tc>
                  <w:tcPr>
                    <w:tcW w:w="600" w:type="dxa"/>
                    <w:noWrap/>
                    <w:hideMark/>
                  </w:tcPr>
                  <w:p w14:paraId="4729D0DD" w14:textId="77777777" w:rsidR="00307F9E" w:rsidRDefault="00307F9E">
                    <w:pPr>
                      <w:spacing w:before="100" w:beforeAutospacing="1" w:after="100" w:afterAutospacing="1"/>
                      <w:jc w:val="right"/>
                      <w:rPr>
                        <w:noProof/>
                      </w:rPr>
                    </w:pPr>
                    <w:r>
                      <w:rPr>
                        <w:noProof/>
                        <w:color w:val="000000"/>
                        <w:sz w:val="16"/>
                        <w:szCs w:val="16"/>
                      </w:rPr>
                      <w:t>[182]</w:t>
                    </w:r>
                  </w:p>
                </w:tc>
              </w:tr>
              <w:tr w:rsidR="00307F9E" w14:paraId="53F8EEB6" w14:textId="77777777">
                <w:trPr>
                  <w:divId w:val="465852184"/>
                </w:trPr>
                <w:tc>
                  <w:tcPr>
                    <w:tcW w:w="0" w:type="auto"/>
                    <w:hideMark/>
                  </w:tcPr>
                  <w:p w14:paraId="39E53D39" w14:textId="77777777" w:rsidR="00307F9E" w:rsidRDefault="00307F9E">
                    <w:pPr>
                      <w:pStyle w:val="Bibliography"/>
                      <w:rPr>
                        <w:noProof/>
                      </w:rPr>
                    </w:pPr>
                    <w:r>
                      <w:rPr>
                        <w:noProof/>
                      </w:rPr>
                      <w:t xml:space="preserve">Meakins, F. (2007), </w:t>
                    </w:r>
                    <w:r>
                      <w:rPr>
                        <w:i/>
                        <w:iCs/>
                        <w:noProof/>
                      </w:rPr>
                      <w:t>Case marking in contact: The development and function of case morphology of Gurindji Kriol (Creole Language Library)</w:t>
                    </w:r>
                    <w:r>
                      <w:rPr>
                        <w:noProof/>
                      </w:rPr>
                      <w:t>, John Benjamins, Amsterdam/Philadelphia.</w:t>
                    </w:r>
                  </w:p>
                </w:tc>
                <w:tc>
                  <w:tcPr>
                    <w:tcW w:w="600" w:type="dxa"/>
                    <w:noWrap/>
                    <w:hideMark/>
                  </w:tcPr>
                  <w:p w14:paraId="2A6A883A" w14:textId="77777777" w:rsidR="00307F9E" w:rsidRDefault="00307F9E">
                    <w:pPr>
                      <w:spacing w:before="100" w:beforeAutospacing="1" w:after="100" w:afterAutospacing="1"/>
                      <w:jc w:val="right"/>
                      <w:rPr>
                        <w:noProof/>
                      </w:rPr>
                    </w:pPr>
                    <w:r>
                      <w:rPr>
                        <w:noProof/>
                        <w:color w:val="000000"/>
                        <w:sz w:val="16"/>
                        <w:szCs w:val="16"/>
                      </w:rPr>
                      <w:t>[7]</w:t>
                    </w:r>
                  </w:p>
                </w:tc>
              </w:tr>
              <w:tr w:rsidR="00307F9E" w14:paraId="612976CB" w14:textId="77777777">
                <w:trPr>
                  <w:divId w:val="465852184"/>
                </w:trPr>
                <w:tc>
                  <w:tcPr>
                    <w:tcW w:w="0" w:type="auto"/>
                    <w:hideMark/>
                  </w:tcPr>
                  <w:p w14:paraId="0FEAAD90" w14:textId="77777777" w:rsidR="00307F9E" w:rsidRDefault="00307F9E">
                    <w:pPr>
                      <w:pStyle w:val="Bibliography"/>
                      <w:rPr>
                        <w:noProof/>
                      </w:rPr>
                    </w:pPr>
                    <w:r>
                      <w:rPr>
                        <w:noProof/>
                      </w:rPr>
                      <w:t xml:space="preserve">Metge, J. (2005), “Working in/playing with three languages: English, te reo Māori and Māori body language”, </w:t>
                    </w:r>
                    <w:r>
                      <w:rPr>
                        <w:i/>
                        <w:iCs/>
                        <w:noProof/>
                      </w:rPr>
                      <w:t>Sites: new series</w:t>
                    </w:r>
                    <w:r>
                      <w:rPr>
                        <w:noProof/>
                      </w:rPr>
                      <w:t>, Vol. 2/2.</w:t>
                    </w:r>
                  </w:p>
                </w:tc>
                <w:tc>
                  <w:tcPr>
                    <w:tcW w:w="600" w:type="dxa"/>
                    <w:noWrap/>
                    <w:hideMark/>
                  </w:tcPr>
                  <w:p w14:paraId="391120F0" w14:textId="77777777" w:rsidR="00307F9E" w:rsidRDefault="00307F9E">
                    <w:pPr>
                      <w:spacing w:before="100" w:beforeAutospacing="1" w:after="100" w:afterAutospacing="1"/>
                      <w:jc w:val="right"/>
                      <w:rPr>
                        <w:noProof/>
                      </w:rPr>
                    </w:pPr>
                    <w:r>
                      <w:rPr>
                        <w:noProof/>
                        <w:color w:val="000000"/>
                        <w:sz w:val="16"/>
                        <w:szCs w:val="16"/>
                      </w:rPr>
                      <w:t>[194]</w:t>
                    </w:r>
                  </w:p>
                </w:tc>
              </w:tr>
              <w:tr w:rsidR="00307F9E" w14:paraId="1703085A" w14:textId="77777777">
                <w:trPr>
                  <w:divId w:val="465852184"/>
                </w:trPr>
                <w:tc>
                  <w:tcPr>
                    <w:tcW w:w="0" w:type="auto"/>
                    <w:hideMark/>
                  </w:tcPr>
                  <w:p w14:paraId="0EBF4143" w14:textId="77777777" w:rsidR="00307F9E" w:rsidRDefault="00307F9E">
                    <w:pPr>
                      <w:pStyle w:val="Bibliography"/>
                      <w:rPr>
                        <w:noProof/>
                      </w:rPr>
                    </w:pPr>
                    <w:r>
                      <w:rPr>
                        <w:noProof/>
                      </w:rPr>
                      <w:t xml:space="preserve">Meyerhoff, M. (2006), “Multilingualism and language choice”, in Meyerhoff, M. (ed.), </w:t>
                    </w:r>
                    <w:r>
                      <w:rPr>
                        <w:i/>
                        <w:iCs/>
                        <w:noProof/>
                      </w:rPr>
                      <w:t>Introducing Sociolinguistics</w:t>
                    </w:r>
                    <w:r>
                      <w:rPr>
                        <w:noProof/>
                      </w:rPr>
                      <w:t>, Routledge, London.</w:t>
                    </w:r>
                  </w:p>
                </w:tc>
                <w:tc>
                  <w:tcPr>
                    <w:tcW w:w="600" w:type="dxa"/>
                    <w:noWrap/>
                    <w:hideMark/>
                  </w:tcPr>
                  <w:p w14:paraId="5A374FF3" w14:textId="77777777" w:rsidR="00307F9E" w:rsidRDefault="00307F9E">
                    <w:pPr>
                      <w:spacing w:before="100" w:beforeAutospacing="1" w:after="100" w:afterAutospacing="1"/>
                      <w:jc w:val="right"/>
                      <w:rPr>
                        <w:noProof/>
                      </w:rPr>
                    </w:pPr>
                    <w:r>
                      <w:rPr>
                        <w:noProof/>
                        <w:color w:val="000000"/>
                        <w:sz w:val="16"/>
                        <w:szCs w:val="16"/>
                      </w:rPr>
                      <w:t>[162]</w:t>
                    </w:r>
                  </w:p>
                </w:tc>
              </w:tr>
              <w:tr w:rsidR="00307F9E" w14:paraId="26958DD3" w14:textId="77777777">
                <w:trPr>
                  <w:divId w:val="465852184"/>
                </w:trPr>
                <w:tc>
                  <w:tcPr>
                    <w:tcW w:w="0" w:type="auto"/>
                    <w:hideMark/>
                  </w:tcPr>
                  <w:p w14:paraId="6A642DD3" w14:textId="77777777" w:rsidR="00307F9E" w:rsidRDefault="00307F9E">
                    <w:pPr>
                      <w:pStyle w:val="Bibliography"/>
                      <w:rPr>
                        <w:noProof/>
                      </w:rPr>
                    </w:pPr>
                    <w:r>
                      <w:rPr>
                        <w:noProof/>
                      </w:rPr>
                      <w:t xml:space="preserve">Meyer, L. (2017), “Resisting Westernization and school reforms: Two sides to the struggle to communalize developmentally appropriate initial education in Indigenous Oaxaca, Mexico”, </w:t>
                    </w:r>
                    <w:r>
                      <w:rPr>
                        <w:i/>
                        <w:iCs/>
                        <w:noProof/>
                      </w:rPr>
                      <w:t>Global Education Review</w:t>
                    </w:r>
                    <w:r>
                      <w:rPr>
                        <w:noProof/>
                      </w:rPr>
                      <w:t>, Vol. 14.</w:t>
                    </w:r>
                  </w:p>
                </w:tc>
                <w:tc>
                  <w:tcPr>
                    <w:tcW w:w="600" w:type="dxa"/>
                    <w:noWrap/>
                    <w:hideMark/>
                  </w:tcPr>
                  <w:p w14:paraId="203EDC49" w14:textId="77777777" w:rsidR="00307F9E" w:rsidRDefault="00307F9E">
                    <w:pPr>
                      <w:spacing w:before="100" w:beforeAutospacing="1" w:after="100" w:afterAutospacing="1"/>
                      <w:jc w:val="right"/>
                      <w:rPr>
                        <w:noProof/>
                      </w:rPr>
                    </w:pPr>
                    <w:r>
                      <w:rPr>
                        <w:noProof/>
                        <w:color w:val="000000"/>
                        <w:sz w:val="16"/>
                        <w:szCs w:val="16"/>
                      </w:rPr>
                      <w:t>[111]</w:t>
                    </w:r>
                  </w:p>
                </w:tc>
              </w:tr>
              <w:tr w:rsidR="00307F9E" w14:paraId="33202DB4" w14:textId="77777777">
                <w:trPr>
                  <w:divId w:val="465852184"/>
                </w:trPr>
                <w:tc>
                  <w:tcPr>
                    <w:tcW w:w="0" w:type="auto"/>
                    <w:hideMark/>
                  </w:tcPr>
                  <w:p w14:paraId="526E9F0F" w14:textId="77777777" w:rsidR="00307F9E" w:rsidRDefault="00307F9E">
                    <w:pPr>
                      <w:pStyle w:val="Bibliography"/>
                      <w:rPr>
                        <w:noProof/>
                      </w:rPr>
                    </w:pPr>
                    <w:r>
                      <w:rPr>
                        <w:noProof/>
                      </w:rPr>
                      <w:t xml:space="preserve">Minister of Pacific Peoples (2021), </w:t>
                    </w:r>
                    <w:r>
                      <w:rPr>
                        <w:i/>
                        <w:iCs/>
                        <w:noProof/>
                      </w:rPr>
                      <w:t>Pacific Languages funding re-opens, Press release, Government of Aotearoa New Zealand</w:t>
                    </w:r>
                    <w:r>
                      <w:rPr>
                        <w:noProof/>
                      </w:rPr>
                      <w:t xml:space="preserve">, </w:t>
                    </w:r>
                    <w:r>
                      <w:rPr>
                        <w:noProof/>
                        <w:color w:val="0000FF"/>
                        <w:u w:val="single"/>
                      </w:rPr>
                      <w:t>https://www.beehive.govt.nz/release/pacific-languages-funding-reopens-0</w:t>
                    </w:r>
                    <w:r>
                      <w:rPr>
                        <w:noProof/>
                      </w:rPr>
                      <w:t xml:space="preserve"> (accessed on 4 October 2021).</w:t>
                    </w:r>
                  </w:p>
                </w:tc>
                <w:tc>
                  <w:tcPr>
                    <w:tcW w:w="600" w:type="dxa"/>
                    <w:noWrap/>
                    <w:hideMark/>
                  </w:tcPr>
                  <w:p w14:paraId="78D8E042" w14:textId="77777777" w:rsidR="00307F9E" w:rsidRDefault="00307F9E">
                    <w:pPr>
                      <w:spacing w:before="100" w:beforeAutospacing="1" w:after="100" w:afterAutospacing="1"/>
                      <w:jc w:val="right"/>
                      <w:rPr>
                        <w:noProof/>
                      </w:rPr>
                    </w:pPr>
                    <w:r>
                      <w:rPr>
                        <w:noProof/>
                        <w:color w:val="000000"/>
                        <w:sz w:val="16"/>
                        <w:szCs w:val="16"/>
                      </w:rPr>
                      <w:t>[66]</w:t>
                    </w:r>
                  </w:p>
                </w:tc>
              </w:tr>
              <w:tr w:rsidR="00307F9E" w14:paraId="75D4EDB5" w14:textId="77777777">
                <w:trPr>
                  <w:divId w:val="465852184"/>
                </w:trPr>
                <w:tc>
                  <w:tcPr>
                    <w:tcW w:w="0" w:type="auto"/>
                    <w:hideMark/>
                  </w:tcPr>
                  <w:p w14:paraId="74861141" w14:textId="77777777" w:rsidR="00307F9E" w:rsidRDefault="00307F9E">
                    <w:pPr>
                      <w:pStyle w:val="Bibliography"/>
                      <w:rPr>
                        <w:noProof/>
                      </w:rPr>
                    </w:pPr>
                    <w:r>
                      <w:rPr>
                        <w:noProof/>
                      </w:rPr>
                      <w:t xml:space="preserve">Ministry of Education (2018), </w:t>
                    </w:r>
                    <w:r>
                      <w:rPr>
                        <w:i/>
                        <w:iCs/>
                        <w:noProof/>
                      </w:rPr>
                      <w:t>Inspiring Success: First Nations and Métis PreK-12 Education Policy Framework, Government of Saskatchewan</w:t>
                    </w:r>
                    <w:r>
                      <w:rPr>
                        <w:noProof/>
                      </w:rPr>
                      <w:t xml:space="preserve">, </w:t>
                    </w:r>
                    <w:r>
                      <w:rPr>
                        <w:noProof/>
                        <w:color w:val="0000FF"/>
                        <w:u w:val="single"/>
                      </w:rPr>
                      <w:t>https://pubsaskdev.blob.core.windows.net/pubsask-prod/107115/107115-Inspiring_Success_Policy_Framework.pdf</w:t>
                    </w:r>
                    <w:r>
                      <w:rPr>
                        <w:noProof/>
                      </w:rPr>
                      <w:t xml:space="preserve"> (accessed on 4 October 2021).</w:t>
                    </w:r>
                  </w:p>
                </w:tc>
                <w:tc>
                  <w:tcPr>
                    <w:tcW w:w="600" w:type="dxa"/>
                    <w:noWrap/>
                    <w:hideMark/>
                  </w:tcPr>
                  <w:p w14:paraId="5650D3A9" w14:textId="77777777" w:rsidR="00307F9E" w:rsidRDefault="00307F9E">
                    <w:pPr>
                      <w:spacing w:before="100" w:beforeAutospacing="1" w:after="100" w:afterAutospacing="1"/>
                      <w:jc w:val="right"/>
                      <w:rPr>
                        <w:noProof/>
                      </w:rPr>
                    </w:pPr>
                    <w:r>
                      <w:rPr>
                        <w:noProof/>
                        <w:color w:val="000000"/>
                        <w:sz w:val="16"/>
                        <w:szCs w:val="16"/>
                      </w:rPr>
                      <w:t>[98]</w:t>
                    </w:r>
                  </w:p>
                </w:tc>
              </w:tr>
              <w:tr w:rsidR="00307F9E" w14:paraId="07F88575" w14:textId="77777777">
                <w:trPr>
                  <w:divId w:val="465852184"/>
                </w:trPr>
                <w:tc>
                  <w:tcPr>
                    <w:tcW w:w="0" w:type="auto"/>
                    <w:hideMark/>
                  </w:tcPr>
                  <w:p w14:paraId="04B02780" w14:textId="77777777" w:rsidR="00307F9E" w:rsidRDefault="00307F9E">
                    <w:pPr>
                      <w:pStyle w:val="Bibliography"/>
                      <w:rPr>
                        <w:noProof/>
                      </w:rPr>
                    </w:pPr>
                    <w:r>
                      <w:rPr>
                        <w:noProof/>
                      </w:rPr>
                      <w:t xml:space="preserve">Ministry of Education (2007), </w:t>
                    </w:r>
                    <w:r>
                      <w:rPr>
                        <w:i/>
                        <w:iCs/>
                        <w:noProof/>
                      </w:rPr>
                      <w:t>Ontario First Nation, Métis, and Inuit Education Policy Framework: Delivering quality education to Aboriginal students in Ontario’s provincially funded schools</w:t>
                    </w:r>
                    <w:r>
                      <w:rPr>
                        <w:noProof/>
                      </w:rPr>
                      <w:t xml:space="preserve">, Aboriginal Education Office, Government of Ontario, </w:t>
                    </w:r>
                    <w:r>
                      <w:rPr>
                        <w:noProof/>
                        <w:color w:val="0000FF"/>
                        <w:u w:val="single"/>
                      </w:rPr>
                      <w:t>http://www.edu.gov.on.ca/eng/aboriginal/fnmiFramework.pdf</w:t>
                    </w:r>
                    <w:r>
                      <w:rPr>
                        <w:noProof/>
                      </w:rPr>
                      <w:t xml:space="preserve"> (accessed on 4 October 2021).</w:t>
                    </w:r>
                  </w:p>
                </w:tc>
                <w:tc>
                  <w:tcPr>
                    <w:tcW w:w="600" w:type="dxa"/>
                    <w:noWrap/>
                    <w:hideMark/>
                  </w:tcPr>
                  <w:p w14:paraId="74E81EF5" w14:textId="77777777" w:rsidR="00307F9E" w:rsidRDefault="00307F9E">
                    <w:pPr>
                      <w:spacing w:before="100" w:beforeAutospacing="1" w:after="100" w:afterAutospacing="1"/>
                      <w:jc w:val="right"/>
                      <w:rPr>
                        <w:noProof/>
                      </w:rPr>
                    </w:pPr>
                    <w:r>
                      <w:rPr>
                        <w:noProof/>
                        <w:color w:val="000000"/>
                        <w:sz w:val="16"/>
                        <w:szCs w:val="16"/>
                      </w:rPr>
                      <w:t>[103]</w:t>
                    </w:r>
                  </w:p>
                </w:tc>
              </w:tr>
              <w:tr w:rsidR="00307F9E" w14:paraId="0E963925" w14:textId="77777777">
                <w:trPr>
                  <w:divId w:val="465852184"/>
                </w:trPr>
                <w:tc>
                  <w:tcPr>
                    <w:tcW w:w="0" w:type="auto"/>
                    <w:hideMark/>
                  </w:tcPr>
                  <w:p w14:paraId="64249512" w14:textId="77777777" w:rsidR="00307F9E" w:rsidRDefault="00307F9E">
                    <w:pPr>
                      <w:pStyle w:val="Bibliography"/>
                      <w:rPr>
                        <w:noProof/>
                      </w:rPr>
                    </w:pPr>
                    <w:r>
                      <w:rPr>
                        <w:noProof/>
                      </w:rPr>
                      <w:t xml:space="preserve">Ministry of Education (2004), </w:t>
                    </w:r>
                    <w:r>
                      <w:rPr>
                        <w:i/>
                        <w:iCs/>
                        <w:noProof/>
                      </w:rPr>
                      <w:t>Québec Education Program Secondary School Education, Cycle One</w:t>
                    </w:r>
                    <w:r>
                      <w:rPr>
                        <w:noProof/>
                      </w:rPr>
                      <w:t xml:space="preserve">, Gouvernement du Québec, </w:t>
                    </w:r>
                    <w:r>
                      <w:rPr>
                        <w:noProof/>
                        <w:color w:val="0000FF"/>
                        <w:u w:val="single"/>
                      </w:rPr>
                      <w:t>http://www.education.gouv.qc.ca/fileadmin/site_web/documents/PFEQ/qepsecfirstcycle.pdf</w:t>
                    </w:r>
                    <w:r>
                      <w:rPr>
                        <w:noProof/>
                      </w:rPr>
                      <w:t xml:space="preserve"> (accessed on 4 October 2021).</w:t>
                    </w:r>
                  </w:p>
                </w:tc>
                <w:tc>
                  <w:tcPr>
                    <w:tcW w:w="600" w:type="dxa"/>
                    <w:noWrap/>
                    <w:hideMark/>
                  </w:tcPr>
                  <w:p w14:paraId="6A77BCE3" w14:textId="77777777" w:rsidR="00307F9E" w:rsidRDefault="00307F9E">
                    <w:pPr>
                      <w:spacing w:before="100" w:beforeAutospacing="1" w:after="100" w:afterAutospacing="1"/>
                      <w:jc w:val="right"/>
                      <w:rPr>
                        <w:noProof/>
                      </w:rPr>
                    </w:pPr>
                    <w:r>
                      <w:rPr>
                        <w:noProof/>
                        <w:color w:val="000000"/>
                        <w:sz w:val="16"/>
                        <w:szCs w:val="16"/>
                      </w:rPr>
                      <w:t>[105]</w:t>
                    </w:r>
                  </w:p>
                </w:tc>
              </w:tr>
              <w:tr w:rsidR="00307F9E" w14:paraId="03790746" w14:textId="77777777">
                <w:trPr>
                  <w:divId w:val="465852184"/>
                </w:trPr>
                <w:tc>
                  <w:tcPr>
                    <w:tcW w:w="0" w:type="auto"/>
                    <w:hideMark/>
                  </w:tcPr>
                  <w:p w14:paraId="341AEA67" w14:textId="77777777" w:rsidR="00307F9E" w:rsidRDefault="00307F9E">
                    <w:pPr>
                      <w:pStyle w:val="Bibliography"/>
                      <w:rPr>
                        <w:noProof/>
                      </w:rPr>
                    </w:pPr>
                    <w:r>
                      <w:rPr>
                        <w:noProof/>
                      </w:rPr>
                      <w:t xml:space="preserve">Ministry of Education (2001), </w:t>
                    </w:r>
                    <w:r>
                      <w:rPr>
                        <w:i/>
                        <w:iCs/>
                        <w:noProof/>
                      </w:rPr>
                      <w:t>Québec Education Program Approved Version: Preschool Education, Elementary Education</w:t>
                    </w:r>
                    <w:r>
                      <w:rPr>
                        <w:noProof/>
                      </w:rPr>
                      <w:t xml:space="preserve">, Gouvernement du Québec, </w:t>
                    </w:r>
                    <w:r>
                      <w:rPr>
                        <w:noProof/>
                        <w:color w:val="0000FF"/>
                        <w:u w:val="single"/>
                      </w:rPr>
                      <w:t>http://www.education.gouv.qc.ca/fileadmin/site_web/documents/PFEQ/educprg2001.pdf</w:t>
                    </w:r>
                    <w:r>
                      <w:rPr>
                        <w:noProof/>
                      </w:rPr>
                      <w:t xml:space="preserve"> (accessed on 4 October 2021).</w:t>
                    </w:r>
                  </w:p>
                </w:tc>
                <w:tc>
                  <w:tcPr>
                    <w:tcW w:w="600" w:type="dxa"/>
                    <w:noWrap/>
                    <w:hideMark/>
                  </w:tcPr>
                  <w:p w14:paraId="079F4079" w14:textId="77777777" w:rsidR="00307F9E" w:rsidRDefault="00307F9E">
                    <w:pPr>
                      <w:spacing w:before="100" w:beforeAutospacing="1" w:after="100" w:afterAutospacing="1"/>
                      <w:jc w:val="right"/>
                      <w:rPr>
                        <w:noProof/>
                      </w:rPr>
                    </w:pPr>
                    <w:r>
                      <w:rPr>
                        <w:noProof/>
                        <w:color w:val="000000"/>
                        <w:sz w:val="16"/>
                        <w:szCs w:val="16"/>
                      </w:rPr>
                      <w:t>[104]</w:t>
                    </w:r>
                  </w:p>
                </w:tc>
              </w:tr>
              <w:tr w:rsidR="00307F9E" w14:paraId="6F6F2871" w14:textId="77777777">
                <w:trPr>
                  <w:divId w:val="465852184"/>
                </w:trPr>
                <w:tc>
                  <w:tcPr>
                    <w:tcW w:w="0" w:type="auto"/>
                    <w:hideMark/>
                  </w:tcPr>
                  <w:p w14:paraId="5518CD70" w14:textId="77777777" w:rsidR="00307F9E" w:rsidRDefault="00307F9E">
                    <w:pPr>
                      <w:pStyle w:val="Bibliography"/>
                      <w:rPr>
                        <w:noProof/>
                      </w:rPr>
                    </w:pPr>
                    <w:r>
                      <w:rPr>
                        <w:noProof/>
                      </w:rPr>
                      <w:t xml:space="preserve">Ministry of Social Development (2016), </w:t>
                    </w:r>
                    <w:r>
                      <w:rPr>
                        <w:i/>
                        <w:iCs/>
                        <w:noProof/>
                      </w:rPr>
                      <w:t>The Social Report 2016 - Te purongo oranga tangata</w:t>
                    </w:r>
                    <w:r>
                      <w:rPr>
                        <w:noProof/>
                      </w:rPr>
                      <w:t xml:space="preserve">, Government of New Zealand, Wellington, </w:t>
                    </w:r>
                    <w:r>
                      <w:rPr>
                        <w:noProof/>
                        <w:color w:val="0000FF"/>
                        <w:u w:val="single"/>
                      </w:rPr>
                      <w:t>https://socialreport.msd.govt.nz/</w:t>
                    </w:r>
                    <w:r>
                      <w:rPr>
                        <w:noProof/>
                      </w:rPr>
                      <w:t xml:space="preserve"> (accessed on 24 September 2021).</w:t>
                    </w:r>
                  </w:p>
                </w:tc>
                <w:tc>
                  <w:tcPr>
                    <w:tcW w:w="600" w:type="dxa"/>
                    <w:noWrap/>
                    <w:hideMark/>
                  </w:tcPr>
                  <w:p w14:paraId="338E26B1" w14:textId="77777777" w:rsidR="00307F9E" w:rsidRDefault="00307F9E">
                    <w:pPr>
                      <w:spacing w:before="100" w:beforeAutospacing="1" w:after="100" w:afterAutospacing="1"/>
                      <w:jc w:val="right"/>
                      <w:rPr>
                        <w:noProof/>
                      </w:rPr>
                    </w:pPr>
                    <w:r>
                      <w:rPr>
                        <w:noProof/>
                        <w:color w:val="000000"/>
                        <w:sz w:val="16"/>
                        <w:szCs w:val="16"/>
                      </w:rPr>
                      <w:t>[5]</w:t>
                    </w:r>
                  </w:p>
                </w:tc>
              </w:tr>
              <w:tr w:rsidR="00307F9E" w14:paraId="1C6F32A3" w14:textId="77777777">
                <w:trPr>
                  <w:divId w:val="465852184"/>
                </w:trPr>
                <w:tc>
                  <w:tcPr>
                    <w:tcW w:w="0" w:type="auto"/>
                    <w:hideMark/>
                  </w:tcPr>
                  <w:p w14:paraId="166F7695" w14:textId="77777777" w:rsidR="00307F9E" w:rsidRDefault="00307F9E">
                    <w:pPr>
                      <w:pStyle w:val="Bibliography"/>
                      <w:rPr>
                        <w:noProof/>
                      </w:rPr>
                    </w:pPr>
                    <w:r>
                      <w:rPr>
                        <w:noProof/>
                      </w:rPr>
                      <w:t xml:space="preserve">Miralpeix, I. (2007), “Lexical knowledge in instructed language learning: The effects of age and exposure”, </w:t>
                    </w:r>
                    <w:r>
                      <w:rPr>
                        <w:i/>
                        <w:iCs/>
                        <w:noProof/>
                      </w:rPr>
                      <w:t>International Journal of English Studies</w:t>
                    </w:r>
                    <w:r>
                      <w:rPr>
                        <w:noProof/>
                      </w:rPr>
                      <w:t>, Vol. 7, p. 2.</w:t>
                    </w:r>
                  </w:p>
                </w:tc>
                <w:tc>
                  <w:tcPr>
                    <w:tcW w:w="600" w:type="dxa"/>
                    <w:noWrap/>
                    <w:hideMark/>
                  </w:tcPr>
                  <w:p w14:paraId="4D24EB99" w14:textId="77777777" w:rsidR="00307F9E" w:rsidRDefault="00307F9E">
                    <w:pPr>
                      <w:spacing w:before="100" w:beforeAutospacing="1" w:after="100" w:afterAutospacing="1"/>
                      <w:jc w:val="right"/>
                      <w:rPr>
                        <w:noProof/>
                      </w:rPr>
                    </w:pPr>
                    <w:r>
                      <w:rPr>
                        <w:noProof/>
                        <w:color w:val="000000"/>
                        <w:sz w:val="16"/>
                        <w:szCs w:val="16"/>
                      </w:rPr>
                      <w:t>[151]</w:t>
                    </w:r>
                  </w:p>
                </w:tc>
              </w:tr>
              <w:tr w:rsidR="00307F9E" w14:paraId="0EF86CC4" w14:textId="77777777">
                <w:trPr>
                  <w:divId w:val="465852184"/>
                </w:trPr>
                <w:tc>
                  <w:tcPr>
                    <w:tcW w:w="0" w:type="auto"/>
                    <w:hideMark/>
                  </w:tcPr>
                  <w:p w14:paraId="70F659D3" w14:textId="77777777" w:rsidR="00307F9E" w:rsidRDefault="00307F9E">
                    <w:pPr>
                      <w:pStyle w:val="Bibliography"/>
                      <w:rPr>
                        <w:noProof/>
                      </w:rPr>
                    </w:pPr>
                    <w:r>
                      <w:rPr>
                        <w:noProof/>
                      </w:rPr>
                      <w:t xml:space="preserve">Mittag, J. (2016), </w:t>
                    </w:r>
                    <w:r>
                      <w:rPr>
                        <w:i/>
                        <w:iCs/>
                        <w:noProof/>
                      </w:rPr>
                      <w:t>A linguistic description of Lockhart River Creole (PhD thesis)</w:t>
                    </w:r>
                    <w:r>
                      <w:rPr>
                        <w:noProof/>
                      </w:rPr>
                      <w:t xml:space="preserve">, School of </w:t>
                    </w:r>
                    <w:r>
                      <w:rPr>
                        <w:noProof/>
                      </w:rPr>
                      <w:lastRenderedPageBreak/>
                      <w:t>Behavioural, Cognitive and Social Sciences, University of New England, Armidale NSW.</w:t>
                    </w:r>
                  </w:p>
                </w:tc>
                <w:tc>
                  <w:tcPr>
                    <w:tcW w:w="600" w:type="dxa"/>
                    <w:noWrap/>
                    <w:hideMark/>
                  </w:tcPr>
                  <w:p w14:paraId="35E0DFDA" w14:textId="77777777" w:rsidR="00307F9E" w:rsidRDefault="00307F9E">
                    <w:pPr>
                      <w:spacing w:before="100" w:beforeAutospacing="1" w:after="100" w:afterAutospacing="1"/>
                      <w:jc w:val="right"/>
                      <w:rPr>
                        <w:noProof/>
                      </w:rPr>
                    </w:pPr>
                    <w:r>
                      <w:rPr>
                        <w:noProof/>
                        <w:color w:val="000000"/>
                        <w:sz w:val="16"/>
                        <w:szCs w:val="16"/>
                      </w:rPr>
                      <w:lastRenderedPageBreak/>
                      <w:t>[10]</w:t>
                    </w:r>
                  </w:p>
                </w:tc>
              </w:tr>
              <w:tr w:rsidR="00307F9E" w14:paraId="2637E20C" w14:textId="77777777">
                <w:trPr>
                  <w:divId w:val="465852184"/>
                </w:trPr>
                <w:tc>
                  <w:tcPr>
                    <w:tcW w:w="0" w:type="auto"/>
                    <w:hideMark/>
                  </w:tcPr>
                  <w:p w14:paraId="6B714203" w14:textId="77777777" w:rsidR="00307F9E" w:rsidRDefault="00307F9E">
                    <w:pPr>
                      <w:pStyle w:val="Bibliography"/>
                      <w:rPr>
                        <w:noProof/>
                      </w:rPr>
                    </w:pPr>
                    <w:r>
                      <w:rPr>
                        <w:noProof/>
                      </w:rPr>
                      <w:t xml:space="preserve">Moodie, N., J. Maxwell and S. Rudolph (2019), “The Impact of racism on the schooling experiences of Aboriginal and Torres Strait Islander students: A systematic review”, </w:t>
                    </w:r>
                    <w:r>
                      <w:rPr>
                        <w:i/>
                        <w:iCs/>
                        <w:noProof/>
                      </w:rPr>
                      <w:t>Australian Educational Researcher</w:t>
                    </w:r>
                    <w:r>
                      <w:rPr>
                        <w:noProof/>
                      </w:rPr>
                      <w:t>, Vol. 46.</w:t>
                    </w:r>
                  </w:p>
                </w:tc>
                <w:tc>
                  <w:tcPr>
                    <w:tcW w:w="600" w:type="dxa"/>
                    <w:noWrap/>
                    <w:hideMark/>
                  </w:tcPr>
                  <w:p w14:paraId="72FE70BC" w14:textId="77777777" w:rsidR="00307F9E" w:rsidRDefault="00307F9E">
                    <w:pPr>
                      <w:spacing w:before="100" w:beforeAutospacing="1" w:after="100" w:afterAutospacing="1"/>
                      <w:jc w:val="right"/>
                      <w:rPr>
                        <w:noProof/>
                      </w:rPr>
                    </w:pPr>
                    <w:r>
                      <w:rPr>
                        <w:noProof/>
                        <w:color w:val="000000"/>
                        <w:sz w:val="16"/>
                        <w:szCs w:val="16"/>
                      </w:rPr>
                      <w:t>[52]</w:t>
                    </w:r>
                  </w:p>
                </w:tc>
              </w:tr>
              <w:tr w:rsidR="00307F9E" w14:paraId="595E22FF" w14:textId="77777777">
                <w:trPr>
                  <w:divId w:val="465852184"/>
                </w:trPr>
                <w:tc>
                  <w:tcPr>
                    <w:tcW w:w="0" w:type="auto"/>
                    <w:hideMark/>
                  </w:tcPr>
                  <w:p w14:paraId="48E7A2AD" w14:textId="77777777" w:rsidR="00307F9E" w:rsidRDefault="00307F9E">
                    <w:pPr>
                      <w:pStyle w:val="Bibliography"/>
                      <w:rPr>
                        <w:noProof/>
                      </w:rPr>
                    </w:pPr>
                    <w:r>
                      <w:rPr>
                        <w:noProof/>
                      </w:rPr>
                      <w:t>Morcom, L. (2017), “Self-esteem and cultural identity in Aboriginal language immersion kindergarteners”, Vol. 16/6.</w:t>
                    </w:r>
                  </w:p>
                </w:tc>
                <w:tc>
                  <w:tcPr>
                    <w:tcW w:w="600" w:type="dxa"/>
                    <w:noWrap/>
                    <w:hideMark/>
                  </w:tcPr>
                  <w:p w14:paraId="7958A927" w14:textId="77777777" w:rsidR="00307F9E" w:rsidRDefault="00307F9E">
                    <w:pPr>
                      <w:spacing w:before="100" w:beforeAutospacing="1" w:after="100" w:afterAutospacing="1"/>
                      <w:jc w:val="right"/>
                      <w:rPr>
                        <w:noProof/>
                      </w:rPr>
                    </w:pPr>
                    <w:r>
                      <w:rPr>
                        <w:noProof/>
                        <w:color w:val="000000"/>
                        <w:sz w:val="16"/>
                        <w:szCs w:val="16"/>
                      </w:rPr>
                      <w:t>[48]</w:t>
                    </w:r>
                  </w:p>
                </w:tc>
              </w:tr>
              <w:tr w:rsidR="00307F9E" w14:paraId="239BC8F9" w14:textId="77777777">
                <w:trPr>
                  <w:divId w:val="465852184"/>
                </w:trPr>
                <w:tc>
                  <w:tcPr>
                    <w:tcW w:w="0" w:type="auto"/>
                    <w:hideMark/>
                  </w:tcPr>
                  <w:p w14:paraId="0B7164C9" w14:textId="77777777" w:rsidR="00307F9E" w:rsidRDefault="00307F9E">
                    <w:pPr>
                      <w:pStyle w:val="Bibliography"/>
                      <w:rPr>
                        <w:noProof/>
                      </w:rPr>
                    </w:pPr>
                    <w:r>
                      <w:rPr>
                        <w:noProof/>
                      </w:rPr>
                      <w:t xml:space="preserve">Munoz, C. (2008), “Symmetries and Asymmetries of Age Effects in Naturalistic and Instructed L2 Learning”, </w:t>
                    </w:r>
                    <w:r>
                      <w:rPr>
                        <w:i/>
                        <w:iCs/>
                        <w:noProof/>
                      </w:rPr>
                      <w:t>Applied Linguistics</w:t>
                    </w:r>
                    <w:r>
                      <w:rPr>
                        <w:noProof/>
                      </w:rPr>
                      <w:t xml:space="preserve">, Vol. 29/4, pp. 578-596, </w:t>
                    </w:r>
                    <w:r>
                      <w:rPr>
                        <w:noProof/>
                        <w:color w:val="0000FF"/>
                        <w:u w:val="single"/>
                      </w:rPr>
                      <w:t>http://dx.doi.org/10.1093/applin/amm056</w:t>
                    </w:r>
                    <w:r>
                      <w:rPr>
                        <w:noProof/>
                      </w:rPr>
                      <w:t>.</w:t>
                    </w:r>
                  </w:p>
                </w:tc>
                <w:tc>
                  <w:tcPr>
                    <w:tcW w:w="600" w:type="dxa"/>
                    <w:noWrap/>
                    <w:hideMark/>
                  </w:tcPr>
                  <w:p w14:paraId="183425D3" w14:textId="77777777" w:rsidR="00307F9E" w:rsidRDefault="00307F9E">
                    <w:pPr>
                      <w:spacing w:before="100" w:beforeAutospacing="1" w:after="100" w:afterAutospacing="1"/>
                      <w:jc w:val="right"/>
                      <w:rPr>
                        <w:noProof/>
                      </w:rPr>
                    </w:pPr>
                    <w:r>
                      <w:rPr>
                        <w:noProof/>
                        <w:color w:val="000000"/>
                        <w:sz w:val="16"/>
                        <w:szCs w:val="16"/>
                      </w:rPr>
                      <w:t>[150]</w:t>
                    </w:r>
                  </w:p>
                </w:tc>
              </w:tr>
              <w:tr w:rsidR="00307F9E" w14:paraId="1A1D4310" w14:textId="77777777">
                <w:trPr>
                  <w:divId w:val="465852184"/>
                </w:trPr>
                <w:tc>
                  <w:tcPr>
                    <w:tcW w:w="0" w:type="auto"/>
                    <w:hideMark/>
                  </w:tcPr>
                  <w:p w14:paraId="2A79D093" w14:textId="77777777" w:rsidR="00307F9E" w:rsidRDefault="00307F9E">
                    <w:pPr>
                      <w:pStyle w:val="Bibliography"/>
                      <w:rPr>
                        <w:noProof/>
                      </w:rPr>
                    </w:pPr>
                    <w:r>
                      <w:rPr>
                        <w:noProof/>
                      </w:rPr>
                      <w:t xml:space="preserve">Munro, J. and I. Mushin (2016), “Rethinking Australian Aboriginal English-based speech varieties: Evidence from Woorabinda”, </w:t>
                    </w:r>
                    <w:r>
                      <w:rPr>
                        <w:i/>
                        <w:iCs/>
                        <w:noProof/>
                      </w:rPr>
                      <w:t>Journal of Pidgin and Creole Languages</w:t>
                    </w:r>
                    <w:r>
                      <w:rPr>
                        <w:noProof/>
                      </w:rPr>
                      <w:t>, Vol. 31.</w:t>
                    </w:r>
                  </w:p>
                </w:tc>
                <w:tc>
                  <w:tcPr>
                    <w:tcW w:w="600" w:type="dxa"/>
                    <w:noWrap/>
                    <w:hideMark/>
                  </w:tcPr>
                  <w:p w14:paraId="1E436242" w14:textId="77777777" w:rsidR="00307F9E" w:rsidRDefault="00307F9E">
                    <w:pPr>
                      <w:spacing w:before="100" w:beforeAutospacing="1" w:after="100" w:afterAutospacing="1"/>
                      <w:jc w:val="right"/>
                      <w:rPr>
                        <w:noProof/>
                      </w:rPr>
                    </w:pPr>
                    <w:r>
                      <w:rPr>
                        <w:noProof/>
                        <w:color w:val="000000"/>
                        <w:sz w:val="16"/>
                        <w:szCs w:val="16"/>
                      </w:rPr>
                      <w:t>[9]</w:t>
                    </w:r>
                  </w:p>
                </w:tc>
              </w:tr>
              <w:tr w:rsidR="00307F9E" w14:paraId="610B7284" w14:textId="77777777">
                <w:trPr>
                  <w:divId w:val="465852184"/>
                </w:trPr>
                <w:tc>
                  <w:tcPr>
                    <w:tcW w:w="0" w:type="auto"/>
                    <w:hideMark/>
                  </w:tcPr>
                  <w:p w14:paraId="6FA2826B" w14:textId="77777777" w:rsidR="00307F9E" w:rsidRDefault="00307F9E">
                    <w:pPr>
                      <w:pStyle w:val="Bibliography"/>
                      <w:rPr>
                        <w:noProof/>
                      </w:rPr>
                    </w:pPr>
                    <w:r>
                      <w:rPr>
                        <w:noProof/>
                      </w:rPr>
                      <w:t xml:space="preserve">Murray, F. (2017), “The Development of Successful Bilingual, Biliterate and Bicultural Pedagogy: Place for Tiwi Teachers and Tiwi Language in Learning”, in Devlin, B., S. Disbray and N. Devlin (eds.), </w:t>
                    </w:r>
                    <w:r>
                      <w:rPr>
                        <w:i/>
                        <w:iCs/>
                        <w:noProof/>
                      </w:rPr>
                      <w:t>History of Bilingual Education in the Northern Territory: People, Programs and Policy</w:t>
                    </w:r>
                    <w:r>
                      <w:rPr>
                        <w:noProof/>
                      </w:rPr>
                      <w:t>, Springer, Singapore.</w:t>
                    </w:r>
                  </w:p>
                </w:tc>
                <w:tc>
                  <w:tcPr>
                    <w:tcW w:w="600" w:type="dxa"/>
                    <w:noWrap/>
                    <w:hideMark/>
                  </w:tcPr>
                  <w:p w14:paraId="48723942" w14:textId="77777777" w:rsidR="00307F9E" w:rsidRDefault="00307F9E">
                    <w:pPr>
                      <w:spacing w:before="100" w:beforeAutospacing="1" w:after="100" w:afterAutospacing="1"/>
                      <w:jc w:val="right"/>
                      <w:rPr>
                        <w:noProof/>
                      </w:rPr>
                    </w:pPr>
                    <w:r>
                      <w:rPr>
                        <w:noProof/>
                        <w:color w:val="000000"/>
                        <w:sz w:val="16"/>
                        <w:szCs w:val="16"/>
                      </w:rPr>
                      <w:t>[173]</w:t>
                    </w:r>
                  </w:p>
                </w:tc>
              </w:tr>
              <w:tr w:rsidR="00307F9E" w14:paraId="0E2B80E0" w14:textId="77777777">
                <w:trPr>
                  <w:divId w:val="465852184"/>
                </w:trPr>
                <w:tc>
                  <w:tcPr>
                    <w:tcW w:w="0" w:type="auto"/>
                    <w:hideMark/>
                  </w:tcPr>
                  <w:p w14:paraId="0F350E1E" w14:textId="77777777" w:rsidR="00307F9E" w:rsidRDefault="00307F9E">
                    <w:pPr>
                      <w:pStyle w:val="Bibliography"/>
                      <w:rPr>
                        <w:noProof/>
                      </w:rPr>
                    </w:pPr>
                    <w:r>
                      <w:rPr>
                        <w:noProof/>
                      </w:rPr>
                      <w:t xml:space="preserve">National Institute of Water and Atmospheric Research (NIWA) (2007), </w:t>
                    </w:r>
                    <w:r>
                      <w:rPr>
                        <w:i/>
                        <w:iCs/>
                        <w:noProof/>
                      </w:rPr>
                      <w:t>Ngā Tikanga Māori o te Tiro Huarere, me te Āhuarangi</w:t>
                    </w:r>
                    <w:r>
                      <w:rPr>
                        <w:noProof/>
                      </w:rPr>
                      <w:t xml:space="preserve">, </w:t>
                    </w:r>
                    <w:r>
                      <w:rPr>
                        <w:noProof/>
                        <w:color w:val="0000FF"/>
                        <w:u w:val="single"/>
                      </w:rPr>
                      <w:t>https://niwa.co.nz/sites/niwa.co.nz/files/niwa_poster_2007.pdf</w:t>
                    </w:r>
                    <w:r>
                      <w:rPr>
                        <w:noProof/>
                      </w:rPr>
                      <w:t xml:space="preserve"> (accessed on 4 October 2021).</w:t>
                    </w:r>
                  </w:p>
                </w:tc>
                <w:tc>
                  <w:tcPr>
                    <w:tcW w:w="600" w:type="dxa"/>
                    <w:noWrap/>
                    <w:hideMark/>
                  </w:tcPr>
                  <w:p w14:paraId="016B586A" w14:textId="77777777" w:rsidR="00307F9E" w:rsidRDefault="00307F9E">
                    <w:pPr>
                      <w:spacing w:before="100" w:beforeAutospacing="1" w:after="100" w:afterAutospacing="1"/>
                      <w:jc w:val="right"/>
                      <w:rPr>
                        <w:noProof/>
                      </w:rPr>
                    </w:pPr>
                    <w:r>
                      <w:rPr>
                        <w:noProof/>
                        <w:color w:val="000000"/>
                        <w:sz w:val="16"/>
                        <w:szCs w:val="16"/>
                      </w:rPr>
                      <w:t>[190]</w:t>
                    </w:r>
                  </w:p>
                </w:tc>
              </w:tr>
              <w:tr w:rsidR="00307F9E" w14:paraId="3B364A26" w14:textId="77777777">
                <w:trPr>
                  <w:divId w:val="465852184"/>
                </w:trPr>
                <w:tc>
                  <w:tcPr>
                    <w:tcW w:w="0" w:type="auto"/>
                    <w:hideMark/>
                  </w:tcPr>
                  <w:p w14:paraId="35FBC4DA" w14:textId="77777777" w:rsidR="00307F9E" w:rsidRDefault="00307F9E">
                    <w:pPr>
                      <w:pStyle w:val="Bibliography"/>
                      <w:rPr>
                        <w:noProof/>
                      </w:rPr>
                    </w:pPr>
                    <w:r>
                      <w:rPr>
                        <w:noProof/>
                      </w:rPr>
                      <w:t xml:space="preserve">National Institute of Water and Atmospheric Research (NIWA) (2006), </w:t>
                    </w:r>
                    <w:r>
                      <w:rPr>
                        <w:i/>
                        <w:iCs/>
                        <w:noProof/>
                      </w:rPr>
                      <w:t>Traditional Māori Weather and Climate Forecasting</w:t>
                    </w:r>
                    <w:r>
                      <w:rPr>
                        <w:noProof/>
                      </w:rPr>
                      <w:t xml:space="preserve">, </w:t>
                    </w:r>
                    <w:r>
                      <w:rPr>
                        <w:noProof/>
                        <w:color w:val="0000FF"/>
                        <w:u w:val="single"/>
                      </w:rPr>
                      <w:t>https://niwa.co.nz/sites/default/files/niwa_poster_2006.pdf</w:t>
                    </w:r>
                    <w:r>
                      <w:rPr>
                        <w:noProof/>
                      </w:rPr>
                      <w:t xml:space="preserve"> (accessed on 4 October 2021).</w:t>
                    </w:r>
                  </w:p>
                </w:tc>
                <w:tc>
                  <w:tcPr>
                    <w:tcW w:w="600" w:type="dxa"/>
                    <w:noWrap/>
                    <w:hideMark/>
                  </w:tcPr>
                  <w:p w14:paraId="16BBBC5F" w14:textId="77777777" w:rsidR="00307F9E" w:rsidRDefault="00307F9E">
                    <w:pPr>
                      <w:spacing w:before="100" w:beforeAutospacing="1" w:after="100" w:afterAutospacing="1"/>
                      <w:jc w:val="right"/>
                      <w:rPr>
                        <w:noProof/>
                      </w:rPr>
                    </w:pPr>
                    <w:r>
                      <w:rPr>
                        <w:noProof/>
                        <w:color w:val="000000"/>
                        <w:sz w:val="16"/>
                        <w:szCs w:val="16"/>
                      </w:rPr>
                      <w:t>[191]</w:t>
                    </w:r>
                  </w:p>
                </w:tc>
              </w:tr>
              <w:tr w:rsidR="00307F9E" w14:paraId="19F845DE" w14:textId="77777777">
                <w:trPr>
                  <w:divId w:val="465852184"/>
                </w:trPr>
                <w:tc>
                  <w:tcPr>
                    <w:tcW w:w="0" w:type="auto"/>
                    <w:hideMark/>
                  </w:tcPr>
                  <w:p w14:paraId="2CC77224" w14:textId="77777777" w:rsidR="00307F9E" w:rsidRDefault="00307F9E">
                    <w:pPr>
                      <w:pStyle w:val="Bibliography"/>
                      <w:rPr>
                        <w:noProof/>
                      </w:rPr>
                    </w:pPr>
                    <w:r>
                      <w:rPr>
                        <w:noProof/>
                      </w:rPr>
                      <w:t xml:space="preserve">National Institute of Water and Atmospheric Research (NIWA) (n.d.), </w:t>
                    </w:r>
                    <w:r>
                      <w:rPr>
                        <w:i/>
                        <w:iCs/>
                        <w:noProof/>
                      </w:rPr>
                      <w:t>Māori Environmental Knowledge</w:t>
                    </w:r>
                    <w:r>
                      <w:rPr>
                        <w:noProof/>
                      </w:rPr>
                      <w:t>.</w:t>
                    </w:r>
                  </w:p>
                </w:tc>
                <w:tc>
                  <w:tcPr>
                    <w:tcW w:w="600" w:type="dxa"/>
                    <w:noWrap/>
                    <w:hideMark/>
                  </w:tcPr>
                  <w:p w14:paraId="7A729CDA" w14:textId="77777777" w:rsidR="00307F9E" w:rsidRDefault="00307F9E">
                    <w:pPr>
                      <w:spacing w:before="100" w:beforeAutospacing="1" w:after="100" w:afterAutospacing="1"/>
                      <w:jc w:val="right"/>
                      <w:rPr>
                        <w:noProof/>
                      </w:rPr>
                    </w:pPr>
                    <w:r>
                      <w:rPr>
                        <w:noProof/>
                        <w:color w:val="000000"/>
                        <w:sz w:val="16"/>
                        <w:szCs w:val="16"/>
                      </w:rPr>
                      <w:t>[189]</w:t>
                    </w:r>
                  </w:p>
                </w:tc>
              </w:tr>
              <w:tr w:rsidR="00307F9E" w14:paraId="17E5BB0A" w14:textId="77777777">
                <w:trPr>
                  <w:divId w:val="465852184"/>
                </w:trPr>
                <w:tc>
                  <w:tcPr>
                    <w:tcW w:w="0" w:type="auto"/>
                    <w:hideMark/>
                  </w:tcPr>
                  <w:p w14:paraId="649D1410" w14:textId="77777777" w:rsidR="00307F9E" w:rsidRDefault="00307F9E">
                    <w:pPr>
                      <w:pStyle w:val="Bibliography"/>
                      <w:rPr>
                        <w:noProof/>
                      </w:rPr>
                    </w:pPr>
                    <w:r>
                      <w:rPr>
                        <w:noProof/>
                      </w:rPr>
                      <w:t xml:space="preserve">NetNewsLedger (2019), </w:t>
                    </w:r>
                    <w:r>
                      <w:rPr>
                        <w:i/>
                        <w:iCs/>
                        <w:noProof/>
                      </w:rPr>
                      <w:t>AFN National Chief – Address to United Nations General Assembly</w:t>
                    </w:r>
                    <w:r>
                      <w:rPr>
                        <w:noProof/>
                      </w:rPr>
                      <w:t xml:space="preserve">, </w:t>
                    </w:r>
                    <w:r>
                      <w:rPr>
                        <w:noProof/>
                        <w:color w:val="0000FF"/>
                        <w:u w:val="single"/>
                      </w:rPr>
                      <w:t>https://www.netnewsledger.com/2019/12/18/afn-national-chief-address-to-united-nations-general-assembly/</w:t>
                    </w:r>
                    <w:r>
                      <w:rPr>
                        <w:noProof/>
                      </w:rPr>
                      <w:t xml:space="preserve"> (accessed on 24 September 2021).</w:t>
                    </w:r>
                  </w:p>
                </w:tc>
                <w:tc>
                  <w:tcPr>
                    <w:tcW w:w="600" w:type="dxa"/>
                    <w:noWrap/>
                    <w:hideMark/>
                  </w:tcPr>
                  <w:p w14:paraId="79178F69" w14:textId="77777777" w:rsidR="00307F9E" w:rsidRDefault="00307F9E">
                    <w:pPr>
                      <w:spacing w:before="100" w:beforeAutospacing="1" w:after="100" w:afterAutospacing="1"/>
                      <w:jc w:val="right"/>
                      <w:rPr>
                        <w:noProof/>
                      </w:rPr>
                    </w:pPr>
                    <w:r>
                      <w:rPr>
                        <w:noProof/>
                        <w:color w:val="000000"/>
                        <w:sz w:val="16"/>
                        <w:szCs w:val="16"/>
                      </w:rPr>
                      <w:t>[21]</w:t>
                    </w:r>
                  </w:p>
                </w:tc>
              </w:tr>
              <w:tr w:rsidR="00307F9E" w14:paraId="61C979DC" w14:textId="77777777">
                <w:trPr>
                  <w:divId w:val="465852184"/>
                </w:trPr>
                <w:tc>
                  <w:tcPr>
                    <w:tcW w:w="0" w:type="auto"/>
                    <w:hideMark/>
                  </w:tcPr>
                  <w:p w14:paraId="634526E7" w14:textId="77777777" w:rsidR="00307F9E" w:rsidRDefault="00307F9E">
                    <w:pPr>
                      <w:pStyle w:val="Bibliography"/>
                      <w:rPr>
                        <w:noProof/>
                      </w:rPr>
                    </w:pPr>
                    <w:r>
                      <w:rPr>
                        <w:noProof/>
                      </w:rPr>
                      <w:t xml:space="preserve">New Zealand Qualifications Authority (2019), </w:t>
                    </w:r>
                    <w:r>
                      <w:rPr>
                        <w:i/>
                        <w:iCs/>
                        <w:noProof/>
                      </w:rPr>
                      <w:t>2018 annual report NCEA [National Certificate of Educational Achievement], University entrance and NZ scholarship data and statistics</w:t>
                    </w:r>
                    <w:r>
                      <w:rPr>
                        <w:noProof/>
                      </w:rPr>
                      <w:t xml:space="preserve">, NZQA, Wellington, </w:t>
                    </w:r>
                    <w:r>
                      <w:rPr>
                        <w:noProof/>
                        <w:color w:val="0000FF"/>
                        <w:u w:val="single"/>
                      </w:rPr>
                      <w:t>https://www.nzqa.govt.nz/assets/About-us/Publications/stats-reports/ncea-annual-report-2018.pdf</w:t>
                    </w:r>
                    <w:r>
                      <w:rPr>
                        <w:noProof/>
                      </w:rPr>
                      <w:t xml:space="preserve"> (accessed on 4 October 2021).</w:t>
                    </w:r>
                  </w:p>
                </w:tc>
                <w:tc>
                  <w:tcPr>
                    <w:tcW w:w="600" w:type="dxa"/>
                    <w:noWrap/>
                    <w:hideMark/>
                  </w:tcPr>
                  <w:p w14:paraId="6EF25590" w14:textId="77777777" w:rsidR="00307F9E" w:rsidRDefault="00307F9E">
                    <w:pPr>
                      <w:spacing w:before="100" w:beforeAutospacing="1" w:after="100" w:afterAutospacing="1"/>
                      <w:jc w:val="right"/>
                      <w:rPr>
                        <w:noProof/>
                      </w:rPr>
                    </w:pPr>
                    <w:r>
                      <w:rPr>
                        <w:noProof/>
                        <w:color w:val="000000"/>
                        <w:sz w:val="16"/>
                        <w:szCs w:val="16"/>
                      </w:rPr>
                      <w:t>[60]</w:t>
                    </w:r>
                  </w:p>
                </w:tc>
              </w:tr>
              <w:tr w:rsidR="00307F9E" w14:paraId="5C483CD4" w14:textId="77777777">
                <w:trPr>
                  <w:divId w:val="465852184"/>
                </w:trPr>
                <w:tc>
                  <w:tcPr>
                    <w:tcW w:w="0" w:type="auto"/>
                    <w:hideMark/>
                  </w:tcPr>
                  <w:p w14:paraId="0954D334" w14:textId="77777777" w:rsidR="00307F9E" w:rsidRDefault="00307F9E">
                    <w:pPr>
                      <w:pStyle w:val="Bibliography"/>
                      <w:rPr>
                        <w:noProof/>
                      </w:rPr>
                    </w:pPr>
                    <w:r>
                      <w:rPr>
                        <w:noProof/>
                      </w:rPr>
                      <w:t xml:space="preserve">New Zealand Qualifications Authority (2019), </w:t>
                    </w:r>
                    <w:r>
                      <w:rPr>
                        <w:i/>
                        <w:iCs/>
                        <w:noProof/>
                      </w:rPr>
                      <w:t>2018 annual report NCEA [National Certificate of Educational Achievement], University entrance and NZ scholarship data and statistics</w:t>
                    </w:r>
                    <w:r>
                      <w:rPr>
                        <w:noProof/>
                      </w:rPr>
                      <w:t xml:space="preserve">, New Zealand Qualifications Authority, Wellington, </w:t>
                    </w:r>
                    <w:r>
                      <w:rPr>
                        <w:noProof/>
                        <w:color w:val="0000FF"/>
                        <w:u w:val="single"/>
                      </w:rPr>
                      <w:t>https://www.nzqa.govt.nz/assets/About-us/Publications/stats-reports/ncea-annual-report-2018.pdf</w:t>
                    </w:r>
                    <w:r>
                      <w:rPr>
                        <w:noProof/>
                      </w:rPr>
                      <w:t xml:space="preserve"> (accessed on 4 October 2021).</w:t>
                    </w:r>
                  </w:p>
                </w:tc>
                <w:tc>
                  <w:tcPr>
                    <w:tcW w:w="600" w:type="dxa"/>
                    <w:noWrap/>
                    <w:hideMark/>
                  </w:tcPr>
                  <w:p w14:paraId="1637230C" w14:textId="77777777" w:rsidR="00307F9E" w:rsidRDefault="00307F9E">
                    <w:pPr>
                      <w:spacing w:before="100" w:beforeAutospacing="1" w:after="100" w:afterAutospacing="1"/>
                      <w:jc w:val="right"/>
                      <w:rPr>
                        <w:noProof/>
                      </w:rPr>
                    </w:pPr>
                    <w:r>
                      <w:rPr>
                        <w:noProof/>
                        <w:color w:val="000000"/>
                        <w:sz w:val="16"/>
                        <w:szCs w:val="16"/>
                      </w:rPr>
                      <w:t>[185]</w:t>
                    </w:r>
                  </w:p>
                </w:tc>
              </w:tr>
              <w:tr w:rsidR="00307F9E" w14:paraId="50A88E00" w14:textId="77777777">
                <w:trPr>
                  <w:divId w:val="465852184"/>
                </w:trPr>
                <w:tc>
                  <w:tcPr>
                    <w:tcW w:w="0" w:type="auto"/>
                    <w:hideMark/>
                  </w:tcPr>
                  <w:p w14:paraId="5A527711" w14:textId="77777777" w:rsidR="00307F9E" w:rsidRDefault="00307F9E">
                    <w:pPr>
                      <w:pStyle w:val="Bibliography"/>
                      <w:rPr>
                        <w:noProof/>
                      </w:rPr>
                    </w:pPr>
                    <w:r>
                      <w:rPr>
                        <w:noProof/>
                      </w:rPr>
                      <w:t xml:space="preserve">Newmark, K., J. Stanford and N. Walker (2016), “English and Aboriginal Identity”, </w:t>
                    </w:r>
                    <w:r>
                      <w:rPr>
                        <w:i/>
                        <w:iCs/>
                        <w:noProof/>
                      </w:rPr>
                      <w:t>The town crier</w:t>
                    </w:r>
                    <w:r>
                      <w:rPr>
                        <w:noProof/>
                      </w:rPr>
                      <w:t xml:space="preserve">, </w:t>
                    </w:r>
                    <w:r>
                      <w:rPr>
                        <w:noProof/>
                        <w:color w:val="0000FF"/>
                        <w:u w:val="single"/>
                      </w:rPr>
                      <w:t>http://towncrier.puritan-magazine.com/aboriginal-english/</w:t>
                    </w:r>
                    <w:r>
                      <w:rPr>
                        <w:noProof/>
                      </w:rPr>
                      <w:t xml:space="preserve"> (accessed on 4 October 2021).</w:t>
                    </w:r>
                  </w:p>
                </w:tc>
                <w:tc>
                  <w:tcPr>
                    <w:tcW w:w="600" w:type="dxa"/>
                    <w:noWrap/>
                    <w:hideMark/>
                  </w:tcPr>
                  <w:p w14:paraId="28AEB027" w14:textId="77777777" w:rsidR="00307F9E" w:rsidRDefault="00307F9E">
                    <w:pPr>
                      <w:spacing w:before="100" w:beforeAutospacing="1" w:after="100" w:afterAutospacing="1"/>
                      <w:jc w:val="right"/>
                      <w:rPr>
                        <w:noProof/>
                      </w:rPr>
                    </w:pPr>
                    <w:r>
                      <w:rPr>
                        <w:noProof/>
                        <w:color w:val="000000"/>
                        <w:sz w:val="16"/>
                        <w:szCs w:val="16"/>
                      </w:rPr>
                      <w:t>[170]</w:t>
                    </w:r>
                  </w:p>
                </w:tc>
              </w:tr>
              <w:tr w:rsidR="00307F9E" w14:paraId="57184FA6" w14:textId="77777777">
                <w:trPr>
                  <w:divId w:val="465852184"/>
                </w:trPr>
                <w:tc>
                  <w:tcPr>
                    <w:tcW w:w="0" w:type="auto"/>
                    <w:hideMark/>
                  </w:tcPr>
                  <w:p w14:paraId="6D5C7AED" w14:textId="77777777" w:rsidR="00307F9E" w:rsidRDefault="00307F9E">
                    <w:pPr>
                      <w:pStyle w:val="Bibliography"/>
                      <w:rPr>
                        <w:noProof/>
                      </w:rPr>
                    </w:pPr>
                    <w:r>
                      <w:rPr>
                        <w:noProof/>
                      </w:rPr>
                      <w:t xml:space="preserve">Ngukurr Language Centre (2020), </w:t>
                    </w:r>
                    <w:r>
                      <w:rPr>
                        <w:i/>
                        <w:iCs/>
                        <w:noProof/>
                      </w:rPr>
                      <w:t>Yuma wandi len Kriol? (Do you want to learn Kriol?)</w:t>
                    </w:r>
                    <w:r>
                      <w:rPr>
                        <w:noProof/>
                      </w:rPr>
                      <w:t xml:space="preserve">, </w:t>
                    </w:r>
                    <w:r>
                      <w:rPr>
                        <w:noProof/>
                        <w:color w:val="0000FF"/>
                        <w:u w:val="single"/>
                      </w:rPr>
                      <w:t>https://ngukurrlc.org.au/</w:t>
                    </w:r>
                    <w:r>
                      <w:rPr>
                        <w:noProof/>
                      </w:rPr>
                      <w:t xml:space="preserve"> (accessed on 4 October 2021).</w:t>
                    </w:r>
                  </w:p>
                </w:tc>
                <w:tc>
                  <w:tcPr>
                    <w:tcW w:w="600" w:type="dxa"/>
                    <w:noWrap/>
                    <w:hideMark/>
                  </w:tcPr>
                  <w:p w14:paraId="0FE4C9A4" w14:textId="77777777" w:rsidR="00307F9E" w:rsidRDefault="00307F9E">
                    <w:pPr>
                      <w:spacing w:before="100" w:beforeAutospacing="1" w:after="100" w:afterAutospacing="1"/>
                      <w:jc w:val="right"/>
                      <w:rPr>
                        <w:noProof/>
                      </w:rPr>
                    </w:pPr>
                    <w:r>
                      <w:rPr>
                        <w:noProof/>
                        <w:color w:val="000000"/>
                        <w:sz w:val="16"/>
                        <w:szCs w:val="16"/>
                      </w:rPr>
                      <w:t>[167]</w:t>
                    </w:r>
                  </w:p>
                </w:tc>
              </w:tr>
              <w:tr w:rsidR="00307F9E" w14:paraId="7AEAB19A" w14:textId="77777777">
                <w:trPr>
                  <w:divId w:val="465852184"/>
                </w:trPr>
                <w:tc>
                  <w:tcPr>
                    <w:tcW w:w="0" w:type="auto"/>
                    <w:hideMark/>
                  </w:tcPr>
                  <w:p w14:paraId="5AB4808D" w14:textId="77777777" w:rsidR="00307F9E" w:rsidRDefault="00307F9E">
                    <w:pPr>
                      <w:pStyle w:val="Bibliography"/>
                      <w:rPr>
                        <w:noProof/>
                      </w:rPr>
                    </w:pPr>
                    <w:r>
                      <w:rPr>
                        <w:noProof/>
                      </w:rPr>
                      <w:t xml:space="preserve">Northern Territory Board of Studies (2016), </w:t>
                    </w:r>
                    <w:r>
                      <w:rPr>
                        <w:i/>
                        <w:iCs/>
                        <w:noProof/>
                      </w:rPr>
                      <w:t xml:space="preserve">Keeping Indigenous languages and cultures strong: A plan for the teaching and learning of Indigenous languages and cultures in Northern Territory </w:t>
                    </w:r>
                    <w:r>
                      <w:rPr>
                        <w:i/>
                        <w:iCs/>
                        <w:noProof/>
                      </w:rPr>
                      <w:lastRenderedPageBreak/>
                      <w:t>schools</w:t>
                    </w:r>
                    <w:r>
                      <w:rPr>
                        <w:noProof/>
                      </w:rPr>
                      <w:t xml:space="preserve">, Northern Territory Government, Darwin, </w:t>
                    </w:r>
                    <w:r>
                      <w:rPr>
                        <w:noProof/>
                        <w:color w:val="0000FF"/>
                        <w:u w:val="single"/>
                      </w:rPr>
                      <w:t>https://education.nt.gov.au/__data/assets/pdf_file/0012/413202/Policy_Keeping-Indigenous-Languages-and-Cultures-Strong-Document_web_updated.pdf</w:t>
                    </w:r>
                    <w:r>
                      <w:rPr>
                        <w:noProof/>
                      </w:rPr>
                      <w:t xml:space="preserve"> (accessed on 4 October 2021).</w:t>
                    </w:r>
                  </w:p>
                </w:tc>
                <w:tc>
                  <w:tcPr>
                    <w:tcW w:w="600" w:type="dxa"/>
                    <w:noWrap/>
                    <w:hideMark/>
                  </w:tcPr>
                  <w:p w14:paraId="59B4749E" w14:textId="77777777" w:rsidR="00307F9E" w:rsidRDefault="00307F9E">
                    <w:pPr>
                      <w:spacing w:before="100" w:beforeAutospacing="1" w:after="100" w:afterAutospacing="1"/>
                      <w:jc w:val="right"/>
                      <w:rPr>
                        <w:noProof/>
                      </w:rPr>
                    </w:pPr>
                    <w:r>
                      <w:rPr>
                        <w:noProof/>
                        <w:color w:val="000000"/>
                        <w:sz w:val="16"/>
                        <w:szCs w:val="16"/>
                      </w:rPr>
                      <w:lastRenderedPageBreak/>
                      <w:t>[75]</w:t>
                    </w:r>
                  </w:p>
                </w:tc>
              </w:tr>
              <w:tr w:rsidR="00307F9E" w14:paraId="2A2ABCE6" w14:textId="77777777">
                <w:trPr>
                  <w:divId w:val="465852184"/>
                </w:trPr>
                <w:tc>
                  <w:tcPr>
                    <w:tcW w:w="0" w:type="auto"/>
                    <w:hideMark/>
                  </w:tcPr>
                  <w:p w14:paraId="18AC69D8" w14:textId="77777777" w:rsidR="00307F9E" w:rsidRDefault="00307F9E">
                    <w:pPr>
                      <w:pStyle w:val="Bibliography"/>
                      <w:rPr>
                        <w:noProof/>
                      </w:rPr>
                    </w:pPr>
                    <w:r>
                      <w:rPr>
                        <w:noProof/>
                      </w:rPr>
                      <w:t xml:space="preserve">Northern Territory Department of Education (2017), </w:t>
                    </w:r>
                    <w:r>
                      <w:rPr>
                        <w:i/>
                        <w:iCs/>
                        <w:noProof/>
                      </w:rPr>
                      <w:t>Keeping Indigenous languages and cultures strong: A Basis for Policy for Indigenous Languages and Cultures in Schools in the NT (Discussion paper)</w:t>
                    </w:r>
                    <w:r>
                      <w:rPr>
                        <w:noProof/>
                      </w:rPr>
                      <w:t xml:space="preserve">, NT Government, </w:t>
                    </w:r>
                    <w:r>
                      <w:rPr>
                        <w:noProof/>
                        <w:color w:val="0000FF"/>
                        <w:u w:val="single"/>
                      </w:rPr>
                      <w:t>https://education.nt.gov.au/__data/assets/pdf_file/0012/413202/Policy_Keeping-Indigenous-Languages-and-Cultures-Strong-Document_web_updated.pdf</w:t>
                    </w:r>
                    <w:r>
                      <w:rPr>
                        <w:noProof/>
                      </w:rPr>
                      <w:t xml:space="preserve"> (accessed on 4 October 2021).</w:t>
                    </w:r>
                  </w:p>
                </w:tc>
                <w:tc>
                  <w:tcPr>
                    <w:tcW w:w="600" w:type="dxa"/>
                    <w:noWrap/>
                    <w:hideMark/>
                  </w:tcPr>
                  <w:p w14:paraId="2965318D" w14:textId="77777777" w:rsidR="00307F9E" w:rsidRDefault="00307F9E">
                    <w:pPr>
                      <w:spacing w:before="100" w:beforeAutospacing="1" w:after="100" w:afterAutospacing="1"/>
                      <w:jc w:val="right"/>
                      <w:rPr>
                        <w:noProof/>
                      </w:rPr>
                    </w:pPr>
                    <w:r>
                      <w:rPr>
                        <w:noProof/>
                        <w:color w:val="000000"/>
                        <w:sz w:val="16"/>
                        <w:szCs w:val="16"/>
                      </w:rPr>
                      <w:t>[174]</w:t>
                    </w:r>
                  </w:p>
                </w:tc>
              </w:tr>
              <w:tr w:rsidR="00307F9E" w14:paraId="4F14F5B3" w14:textId="77777777">
                <w:trPr>
                  <w:divId w:val="465852184"/>
                </w:trPr>
                <w:tc>
                  <w:tcPr>
                    <w:tcW w:w="0" w:type="auto"/>
                    <w:hideMark/>
                  </w:tcPr>
                  <w:p w14:paraId="449D92C1" w14:textId="77777777" w:rsidR="00307F9E" w:rsidRDefault="00307F9E">
                    <w:pPr>
                      <w:pStyle w:val="Bibliography"/>
                      <w:rPr>
                        <w:noProof/>
                      </w:rPr>
                    </w:pPr>
                    <w:r>
                      <w:rPr>
                        <w:noProof/>
                      </w:rPr>
                      <w:t xml:space="preserve">Northern territory Government (2020), “Keeping Indigenous languages and cultures strong”, </w:t>
                    </w:r>
                    <w:r>
                      <w:rPr>
                        <w:i/>
                        <w:iCs/>
                        <w:noProof/>
                      </w:rPr>
                      <w:t>Indigenous Education Strategy</w:t>
                    </w:r>
                    <w:r>
                      <w:rPr>
                        <w:noProof/>
                      </w:rPr>
                      <w:t xml:space="preserve"> 15, </w:t>
                    </w:r>
                    <w:r>
                      <w:rPr>
                        <w:noProof/>
                        <w:color w:val="0000FF"/>
                        <w:u w:val="single"/>
                      </w:rPr>
                      <w:t>https://education.nt.gov.au/statistics-research-and-strategies/indigenous-education-strategy/indigenous-education-strategy-issue-15/keeping-indigenous-languages-and-cultures-strong</w:t>
                    </w:r>
                    <w:r>
                      <w:rPr>
                        <w:noProof/>
                      </w:rPr>
                      <w:t xml:space="preserve"> (accessed on 4 October 2021).</w:t>
                    </w:r>
                  </w:p>
                </w:tc>
                <w:tc>
                  <w:tcPr>
                    <w:tcW w:w="600" w:type="dxa"/>
                    <w:noWrap/>
                    <w:hideMark/>
                  </w:tcPr>
                  <w:p w14:paraId="6C13CFBA" w14:textId="77777777" w:rsidR="00307F9E" w:rsidRDefault="00307F9E">
                    <w:pPr>
                      <w:spacing w:before="100" w:beforeAutospacing="1" w:after="100" w:afterAutospacing="1"/>
                      <w:jc w:val="right"/>
                      <w:rPr>
                        <w:noProof/>
                      </w:rPr>
                    </w:pPr>
                    <w:r>
                      <w:rPr>
                        <w:noProof/>
                        <w:color w:val="000000"/>
                        <w:sz w:val="16"/>
                        <w:szCs w:val="16"/>
                      </w:rPr>
                      <w:t>[204]</w:t>
                    </w:r>
                  </w:p>
                </w:tc>
              </w:tr>
              <w:tr w:rsidR="00307F9E" w14:paraId="081024D7" w14:textId="77777777">
                <w:trPr>
                  <w:divId w:val="465852184"/>
                </w:trPr>
                <w:tc>
                  <w:tcPr>
                    <w:tcW w:w="0" w:type="auto"/>
                    <w:hideMark/>
                  </w:tcPr>
                  <w:p w14:paraId="7222B9DA" w14:textId="77777777" w:rsidR="00307F9E" w:rsidRDefault="00307F9E">
                    <w:pPr>
                      <w:pStyle w:val="Bibliography"/>
                      <w:rPr>
                        <w:noProof/>
                      </w:rPr>
                    </w:pPr>
                    <w:r>
                      <w:rPr>
                        <w:noProof/>
                      </w:rPr>
                      <w:t xml:space="preserve">Northwest Territories Education Culture and Employment (1993), </w:t>
                    </w:r>
                    <w:r>
                      <w:rPr>
                        <w:i/>
                        <w:iCs/>
                        <w:noProof/>
                      </w:rPr>
                      <w:t>Dene Kede. Education: A Dene perspective. Grades K-6</w:t>
                    </w:r>
                    <w:r>
                      <w:rPr>
                        <w:noProof/>
                      </w:rPr>
                      <w:t xml:space="preserve">, </w:t>
                    </w:r>
                    <w:r>
                      <w:rPr>
                        <w:noProof/>
                        <w:color w:val="0000FF"/>
                        <w:u w:val="single"/>
                      </w:rPr>
                      <w:t>http://www.ece.gov.nt.ca/sites/ece/files/resources/dene_kede_k-6_full_curriculum.pdf</w:t>
                    </w:r>
                    <w:r>
                      <w:rPr>
                        <w:noProof/>
                      </w:rPr>
                      <w:t xml:space="preserve"> (accessed on 4 October 2021).</w:t>
                    </w:r>
                  </w:p>
                </w:tc>
                <w:tc>
                  <w:tcPr>
                    <w:tcW w:w="600" w:type="dxa"/>
                    <w:noWrap/>
                    <w:hideMark/>
                  </w:tcPr>
                  <w:p w14:paraId="3940DAA1" w14:textId="77777777" w:rsidR="00307F9E" w:rsidRDefault="00307F9E">
                    <w:pPr>
                      <w:spacing w:before="100" w:beforeAutospacing="1" w:after="100" w:afterAutospacing="1"/>
                      <w:jc w:val="right"/>
                      <w:rPr>
                        <w:noProof/>
                      </w:rPr>
                    </w:pPr>
                    <w:r>
                      <w:rPr>
                        <w:noProof/>
                        <w:color w:val="000000"/>
                        <w:sz w:val="16"/>
                        <w:szCs w:val="16"/>
                      </w:rPr>
                      <w:t>[192]</w:t>
                    </w:r>
                  </w:p>
                </w:tc>
              </w:tr>
              <w:tr w:rsidR="00307F9E" w14:paraId="508C650A" w14:textId="77777777">
                <w:trPr>
                  <w:divId w:val="465852184"/>
                </w:trPr>
                <w:tc>
                  <w:tcPr>
                    <w:tcW w:w="0" w:type="auto"/>
                    <w:hideMark/>
                  </w:tcPr>
                  <w:p w14:paraId="6E61F11E" w14:textId="77777777" w:rsidR="00307F9E" w:rsidRDefault="00307F9E">
                    <w:pPr>
                      <w:pStyle w:val="Bibliography"/>
                      <w:rPr>
                        <w:noProof/>
                      </w:rPr>
                    </w:pPr>
                    <w:r>
                      <w:rPr>
                        <w:noProof/>
                      </w:rPr>
                      <w:t xml:space="preserve">OECD (2017), </w:t>
                    </w:r>
                    <w:r>
                      <w:rPr>
                        <w:i/>
                        <w:iCs/>
                        <w:noProof/>
                      </w:rPr>
                      <w:t>Promising practices in supporting success for Indigenous students</w:t>
                    </w:r>
                    <w:r>
                      <w:rPr>
                        <w:noProof/>
                      </w:rPr>
                      <w:t>, OECD Publishing, Paris.</w:t>
                    </w:r>
                  </w:p>
                </w:tc>
                <w:tc>
                  <w:tcPr>
                    <w:tcW w:w="600" w:type="dxa"/>
                    <w:noWrap/>
                    <w:hideMark/>
                  </w:tcPr>
                  <w:p w14:paraId="3E6C01C3" w14:textId="77777777" w:rsidR="00307F9E" w:rsidRDefault="00307F9E">
                    <w:pPr>
                      <w:spacing w:before="100" w:beforeAutospacing="1" w:after="100" w:afterAutospacing="1"/>
                      <w:jc w:val="right"/>
                      <w:rPr>
                        <w:noProof/>
                      </w:rPr>
                    </w:pPr>
                    <w:r>
                      <w:rPr>
                        <w:noProof/>
                        <w:color w:val="000000"/>
                        <w:sz w:val="16"/>
                        <w:szCs w:val="16"/>
                      </w:rPr>
                      <w:t>[164]</w:t>
                    </w:r>
                  </w:p>
                </w:tc>
              </w:tr>
              <w:tr w:rsidR="00307F9E" w14:paraId="0040DD36" w14:textId="77777777">
                <w:trPr>
                  <w:divId w:val="465852184"/>
                </w:trPr>
                <w:tc>
                  <w:tcPr>
                    <w:tcW w:w="0" w:type="auto"/>
                    <w:hideMark/>
                  </w:tcPr>
                  <w:p w14:paraId="350D0A3F" w14:textId="77777777" w:rsidR="00307F9E" w:rsidRDefault="00307F9E">
                    <w:pPr>
                      <w:pStyle w:val="Bibliography"/>
                      <w:rPr>
                        <w:noProof/>
                      </w:rPr>
                    </w:pPr>
                    <w:r>
                      <w:rPr>
                        <w:noProof/>
                      </w:rPr>
                      <w:t xml:space="preserve">Ogivly, J. (2012), </w:t>
                    </w:r>
                    <w:r>
                      <w:rPr>
                        <w:i/>
                        <w:iCs/>
                        <w:noProof/>
                      </w:rPr>
                      <w:t>Analysis of Māori immersion teachers within the Ministry of Education workforce</w:t>
                    </w:r>
                    <w:r>
                      <w:rPr>
                        <w:noProof/>
                      </w:rPr>
                      <w:t>, Ministry of Education, Wellington.</w:t>
                    </w:r>
                  </w:p>
                </w:tc>
                <w:tc>
                  <w:tcPr>
                    <w:tcW w:w="600" w:type="dxa"/>
                    <w:noWrap/>
                    <w:hideMark/>
                  </w:tcPr>
                  <w:p w14:paraId="504EF604" w14:textId="77777777" w:rsidR="00307F9E" w:rsidRDefault="00307F9E">
                    <w:pPr>
                      <w:spacing w:before="100" w:beforeAutospacing="1" w:after="100" w:afterAutospacing="1"/>
                      <w:jc w:val="right"/>
                      <w:rPr>
                        <w:noProof/>
                      </w:rPr>
                    </w:pPr>
                    <w:r>
                      <w:rPr>
                        <w:noProof/>
                        <w:color w:val="000000"/>
                        <w:sz w:val="16"/>
                        <w:szCs w:val="16"/>
                      </w:rPr>
                      <w:t>[207]</w:t>
                    </w:r>
                  </w:p>
                </w:tc>
              </w:tr>
              <w:tr w:rsidR="00307F9E" w14:paraId="0C2AC8B2" w14:textId="77777777">
                <w:trPr>
                  <w:divId w:val="465852184"/>
                </w:trPr>
                <w:tc>
                  <w:tcPr>
                    <w:tcW w:w="0" w:type="auto"/>
                    <w:hideMark/>
                  </w:tcPr>
                  <w:p w14:paraId="5373075B" w14:textId="77777777" w:rsidR="00307F9E" w:rsidRDefault="00307F9E">
                    <w:pPr>
                      <w:pStyle w:val="Bibliography"/>
                      <w:rPr>
                        <w:noProof/>
                      </w:rPr>
                    </w:pPr>
                    <w:r>
                      <w:rPr>
                        <w:noProof/>
                      </w:rPr>
                      <w:t xml:space="preserve">O’Shannessy, C. (2005), “Light Warlpiri: A new language”, </w:t>
                    </w:r>
                    <w:r>
                      <w:rPr>
                        <w:i/>
                        <w:iCs/>
                        <w:noProof/>
                      </w:rPr>
                      <w:t>Australian Journal of Linguistics</w:t>
                    </w:r>
                    <w:r>
                      <w:rPr>
                        <w:noProof/>
                      </w:rPr>
                      <w:t>, Vol. 25, pp. 31-57.</w:t>
                    </w:r>
                  </w:p>
                </w:tc>
                <w:tc>
                  <w:tcPr>
                    <w:tcW w:w="600" w:type="dxa"/>
                    <w:noWrap/>
                    <w:hideMark/>
                  </w:tcPr>
                  <w:p w14:paraId="7EEE0460" w14:textId="77777777" w:rsidR="00307F9E" w:rsidRDefault="00307F9E">
                    <w:pPr>
                      <w:spacing w:before="100" w:beforeAutospacing="1" w:after="100" w:afterAutospacing="1"/>
                      <w:jc w:val="right"/>
                      <w:rPr>
                        <w:noProof/>
                      </w:rPr>
                    </w:pPr>
                    <w:r>
                      <w:rPr>
                        <w:noProof/>
                        <w:color w:val="000000"/>
                        <w:sz w:val="16"/>
                        <w:szCs w:val="16"/>
                      </w:rPr>
                      <w:t>[6]</w:t>
                    </w:r>
                  </w:p>
                </w:tc>
              </w:tr>
              <w:tr w:rsidR="00307F9E" w14:paraId="359151F4" w14:textId="77777777">
                <w:trPr>
                  <w:divId w:val="465852184"/>
                </w:trPr>
                <w:tc>
                  <w:tcPr>
                    <w:tcW w:w="0" w:type="auto"/>
                    <w:hideMark/>
                  </w:tcPr>
                  <w:p w14:paraId="606204D7" w14:textId="77777777" w:rsidR="00307F9E" w:rsidRDefault="00307F9E">
                    <w:pPr>
                      <w:pStyle w:val="Bibliography"/>
                      <w:rPr>
                        <w:noProof/>
                      </w:rPr>
                    </w:pPr>
                    <w:r>
                      <w:rPr>
                        <w:noProof/>
                      </w:rPr>
                      <w:t xml:space="preserve">Oster, R. and E. al (2014), “Cultural continuity, traditional Indigenous language, and diabetes in Alberta First Nations: A mixed methods study”, </w:t>
                    </w:r>
                    <w:r>
                      <w:rPr>
                        <w:i/>
                        <w:iCs/>
                        <w:noProof/>
                      </w:rPr>
                      <w:t>International Journal for Equity in Health</w:t>
                    </w:r>
                    <w:r>
                      <w:rPr>
                        <w:noProof/>
                      </w:rPr>
                      <w:t>, Vol. 13, pp. 1-12.</w:t>
                    </w:r>
                  </w:p>
                </w:tc>
                <w:tc>
                  <w:tcPr>
                    <w:tcW w:w="600" w:type="dxa"/>
                    <w:noWrap/>
                    <w:hideMark/>
                  </w:tcPr>
                  <w:p w14:paraId="2B60A471" w14:textId="77777777" w:rsidR="00307F9E" w:rsidRDefault="00307F9E">
                    <w:pPr>
                      <w:spacing w:before="100" w:beforeAutospacing="1" w:after="100" w:afterAutospacing="1"/>
                      <w:jc w:val="right"/>
                      <w:rPr>
                        <w:noProof/>
                      </w:rPr>
                    </w:pPr>
                    <w:r>
                      <w:rPr>
                        <w:noProof/>
                        <w:color w:val="000000"/>
                        <w:sz w:val="16"/>
                        <w:szCs w:val="16"/>
                      </w:rPr>
                      <w:t>[22]</w:t>
                    </w:r>
                  </w:p>
                </w:tc>
              </w:tr>
              <w:tr w:rsidR="00307F9E" w14:paraId="50FC6E73" w14:textId="77777777">
                <w:trPr>
                  <w:divId w:val="465852184"/>
                </w:trPr>
                <w:tc>
                  <w:tcPr>
                    <w:tcW w:w="0" w:type="auto"/>
                    <w:hideMark/>
                  </w:tcPr>
                  <w:p w14:paraId="2301BB62" w14:textId="77777777" w:rsidR="00307F9E" w:rsidRDefault="00307F9E">
                    <w:pPr>
                      <w:pStyle w:val="Bibliography"/>
                      <w:rPr>
                        <w:noProof/>
                      </w:rPr>
                    </w:pPr>
                    <w:r>
                      <w:rPr>
                        <w:noProof/>
                      </w:rPr>
                      <w:t xml:space="preserve">Paranihi, R. (2018), “Kapa haka on the rise - 2018 highlights”, </w:t>
                    </w:r>
                    <w:r>
                      <w:rPr>
                        <w:i/>
                        <w:iCs/>
                        <w:noProof/>
                      </w:rPr>
                      <w:t>Te Ao Māori News</w:t>
                    </w:r>
                    <w:r>
                      <w:rPr>
                        <w:noProof/>
                      </w:rPr>
                      <w:t xml:space="preserve">, </w:t>
                    </w:r>
                    <w:r>
                      <w:rPr>
                        <w:noProof/>
                        <w:color w:val="0000FF"/>
                        <w:u w:val="single"/>
                      </w:rPr>
                      <w:t>https://www.teaomaori.news/kapa-haka-on-rise-2018-highlights</w:t>
                    </w:r>
                    <w:r>
                      <w:rPr>
                        <w:noProof/>
                      </w:rPr>
                      <w:t xml:space="preserve"> (accessed on 4 October 2021).</w:t>
                    </w:r>
                  </w:p>
                </w:tc>
                <w:tc>
                  <w:tcPr>
                    <w:tcW w:w="600" w:type="dxa"/>
                    <w:noWrap/>
                    <w:hideMark/>
                  </w:tcPr>
                  <w:p w14:paraId="147E6BDB" w14:textId="77777777" w:rsidR="00307F9E" w:rsidRDefault="00307F9E">
                    <w:pPr>
                      <w:spacing w:before="100" w:beforeAutospacing="1" w:after="100" w:afterAutospacing="1"/>
                      <w:jc w:val="right"/>
                      <w:rPr>
                        <w:noProof/>
                      </w:rPr>
                    </w:pPr>
                    <w:r>
                      <w:rPr>
                        <w:noProof/>
                        <w:color w:val="000000"/>
                        <w:sz w:val="16"/>
                        <w:szCs w:val="16"/>
                      </w:rPr>
                      <w:t>[198]</w:t>
                    </w:r>
                  </w:p>
                </w:tc>
              </w:tr>
              <w:tr w:rsidR="00307F9E" w14:paraId="431CC3F6" w14:textId="77777777">
                <w:trPr>
                  <w:divId w:val="465852184"/>
                </w:trPr>
                <w:tc>
                  <w:tcPr>
                    <w:tcW w:w="0" w:type="auto"/>
                    <w:hideMark/>
                  </w:tcPr>
                  <w:p w14:paraId="7F260CF6" w14:textId="77777777" w:rsidR="00307F9E" w:rsidRDefault="00307F9E">
                    <w:pPr>
                      <w:pStyle w:val="Bibliography"/>
                      <w:rPr>
                        <w:noProof/>
                      </w:rPr>
                    </w:pPr>
                    <w:r>
                      <w:rPr>
                        <w:noProof/>
                      </w:rPr>
                      <w:t xml:space="preserve">Pihama, L., J. Tipene and H. Skipper (2014), </w:t>
                    </w:r>
                    <w:r>
                      <w:rPr>
                        <w:i/>
                        <w:iCs/>
                        <w:noProof/>
                      </w:rPr>
                      <w:t>Ngā hua a Tāne Rore: The benefits of Kapa Haka</w:t>
                    </w:r>
                    <w:r>
                      <w:rPr>
                        <w:noProof/>
                      </w:rPr>
                      <w:t xml:space="preserve">, Manatū Taonga - Ministry of Culture and Heritage, Wellington, </w:t>
                    </w:r>
                    <w:r>
                      <w:rPr>
                        <w:noProof/>
                        <w:color w:val="0000FF"/>
                        <w:u w:val="single"/>
                      </w:rPr>
                      <w:t>https://researchcommons.waikato.ac.nz/handle/10289/12603</w:t>
                    </w:r>
                    <w:r>
                      <w:rPr>
                        <w:noProof/>
                      </w:rPr>
                      <w:t xml:space="preserve"> (accessed on 4 October 2021).</w:t>
                    </w:r>
                  </w:p>
                </w:tc>
                <w:tc>
                  <w:tcPr>
                    <w:tcW w:w="600" w:type="dxa"/>
                    <w:noWrap/>
                    <w:hideMark/>
                  </w:tcPr>
                  <w:p w14:paraId="71CC3BBD" w14:textId="77777777" w:rsidR="00307F9E" w:rsidRDefault="00307F9E">
                    <w:pPr>
                      <w:spacing w:before="100" w:beforeAutospacing="1" w:after="100" w:afterAutospacing="1"/>
                      <w:jc w:val="right"/>
                      <w:rPr>
                        <w:noProof/>
                      </w:rPr>
                    </w:pPr>
                    <w:r>
                      <w:rPr>
                        <w:noProof/>
                        <w:color w:val="000000"/>
                        <w:sz w:val="16"/>
                        <w:szCs w:val="16"/>
                      </w:rPr>
                      <w:t>[199]</w:t>
                    </w:r>
                  </w:p>
                </w:tc>
              </w:tr>
              <w:tr w:rsidR="00307F9E" w14:paraId="0CF7DC7D" w14:textId="77777777">
                <w:trPr>
                  <w:divId w:val="465852184"/>
                </w:trPr>
                <w:tc>
                  <w:tcPr>
                    <w:tcW w:w="0" w:type="auto"/>
                    <w:hideMark/>
                  </w:tcPr>
                  <w:p w14:paraId="41968969" w14:textId="77777777" w:rsidR="00307F9E" w:rsidRDefault="00307F9E">
                    <w:pPr>
                      <w:pStyle w:val="Bibliography"/>
                      <w:rPr>
                        <w:noProof/>
                      </w:rPr>
                    </w:pPr>
                    <w:r>
                      <w:rPr>
                        <w:noProof/>
                      </w:rPr>
                      <w:t xml:space="preserve">Pinnock, H. (2011), </w:t>
                    </w:r>
                    <w:r>
                      <w:rPr>
                        <w:i/>
                        <w:iCs/>
                        <w:noProof/>
                      </w:rPr>
                      <w:t>Closer to home: how to help schools in low- and middle-income countries respond to children’s language needs</w:t>
                    </w:r>
                    <w:r>
                      <w:rPr>
                        <w:noProof/>
                      </w:rPr>
                      <w:t xml:space="preserve">, Save the Children International/CFBT Education Trust, Berkshire, </w:t>
                    </w:r>
                    <w:r>
                      <w:rPr>
                        <w:noProof/>
                        <w:color w:val="0000FF"/>
                        <w:u w:val="single"/>
                      </w:rPr>
                      <w:t>https://resourcecentre.savethechildren.net/node/5471/pdf/5471.pdf</w:t>
                    </w:r>
                    <w:r>
                      <w:rPr>
                        <w:noProof/>
                      </w:rPr>
                      <w:t xml:space="preserve"> (accessed on 4 October 2021).</w:t>
                    </w:r>
                  </w:p>
                </w:tc>
                <w:tc>
                  <w:tcPr>
                    <w:tcW w:w="600" w:type="dxa"/>
                    <w:noWrap/>
                    <w:hideMark/>
                  </w:tcPr>
                  <w:p w14:paraId="47226134" w14:textId="77777777" w:rsidR="00307F9E" w:rsidRDefault="00307F9E">
                    <w:pPr>
                      <w:spacing w:before="100" w:beforeAutospacing="1" w:after="100" w:afterAutospacing="1"/>
                      <w:jc w:val="right"/>
                      <w:rPr>
                        <w:noProof/>
                      </w:rPr>
                    </w:pPr>
                    <w:r>
                      <w:rPr>
                        <w:noProof/>
                        <w:color w:val="000000"/>
                        <w:sz w:val="16"/>
                        <w:szCs w:val="16"/>
                      </w:rPr>
                      <w:t>[120]</w:t>
                    </w:r>
                  </w:p>
                </w:tc>
              </w:tr>
              <w:tr w:rsidR="00307F9E" w14:paraId="29A1CE0F" w14:textId="77777777">
                <w:trPr>
                  <w:divId w:val="465852184"/>
                </w:trPr>
                <w:tc>
                  <w:tcPr>
                    <w:tcW w:w="0" w:type="auto"/>
                    <w:hideMark/>
                  </w:tcPr>
                  <w:p w14:paraId="1BD25DA9" w14:textId="77777777" w:rsidR="00307F9E" w:rsidRDefault="00307F9E">
                    <w:pPr>
                      <w:pStyle w:val="Bibliography"/>
                      <w:rPr>
                        <w:noProof/>
                      </w:rPr>
                    </w:pPr>
                    <w:r>
                      <w:rPr>
                        <w:noProof/>
                      </w:rPr>
                      <w:t xml:space="preserve">Pinnock, H. (2009), </w:t>
                    </w:r>
                    <w:r>
                      <w:rPr>
                        <w:i/>
                        <w:iCs/>
                        <w:noProof/>
                      </w:rPr>
                      <w:t>Language and education: the missing link: How the language used in schools threatens the achievement of Edcuation for All</w:t>
                    </w:r>
                    <w:r>
                      <w:rPr>
                        <w:noProof/>
                      </w:rPr>
                      <w:t xml:space="preserve">, Save the Children International/CFBT Education Trust, Berkshire, </w:t>
                    </w:r>
                    <w:r>
                      <w:rPr>
                        <w:noProof/>
                        <w:color w:val="0000FF"/>
                        <w:u w:val="single"/>
                      </w:rPr>
                      <w:t>https://resourcecentre.savethechildren.net/node/1674/pdf/1674.pdf</w:t>
                    </w:r>
                    <w:r>
                      <w:rPr>
                        <w:noProof/>
                      </w:rPr>
                      <w:t xml:space="preserve"> (accessed on 4 October 2021).</w:t>
                    </w:r>
                  </w:p>
                </w:tc>
                <w:tc>
                  <w:tcPr>
                    <w:tcW w:w="600" w:type="dxa"/>
                    <w:noWrap/>
                    <w:hideMark/>
                  </w:tcPr>
                  <w:p w14:paraId="705FE359" w14:textId="77777777" w:rsidR="00307F9E" w:rsidRDefault="00307F9E">
                    <w:pPr>
                      <w:spacing w:before="100" w:beforeAutospacing="1" w:after="100" w:afterAutospacing="1"/>
                      <w:jc w:val="right"/>
                      <w:rPr>
                        <w:noProof/>
                      </w:rPr>
                    </w:pPr>
                    <w:r>
                      <w:rPr>
                        <w:noProof/>
                        <w:color w:val="000000"/>
                        <w:sz w:val="16"/>
                        <w:szCs w:val="16"/>
                      </w:rPr>
                      <w:t>[118]</w:t>
                    </w:r>
                  </w:p>
                </w:tc>
              </w:tr>
              <w:tr w:rsidR="00307F9E" w14:paraId="56774C7A" w14:textId="77777777">
                <w:trPr>
                  <w:divId w:val="465852184"/>
                </w:trPr>
                <w:tc>
                  <w:tcPr>
                    <w:tcW w:w="0" w:type="auto"/>
                    <w:hideMark/>
                  </w:tcPr>
                  <w:p w14:paraId="3F6AF1B0" w14:textId="77777777" w:rsidR="00307F9E" w:rsidRDefault="00307F9E">
                    <w:pPr>
                      <w:pStyle w:val="Bibliography"/>
                      <w:rPr>
                        <w:noProof/>
                      </w:rPr>
                    </w:pPr>
                    <w:r>
                      <w:rPr>
                        <w:noProof/>
                      </w:rPr>
                      <w:t xml:space="preserve">Pinnock, H. (2009), </w:t>
                    </w:r>
                    <w:r>
                      <w:rPr>
                        <w:i/>
                        <w:iCs/>
                        <w:noProof/>
                      </w:rPr>
                      <w:t>Steps towards learning: A guide to overcoming language barriers in children’s education</w:t>
                    </w:r>
                    <w:r>
                      <w:rPr>
                        <w:noProof/>
                      </w:rPr>
                      <w:t xml:space="preserve">, Save the Children Insternational/CFBT Education Trust, Berkshire, </w:t>
                    </w:r>
                    <w:r>
                      <w:rPr>
                        <w:noProof/>
                        <w:color w:val="0000FF"/>
                        <w:u w:val="single"/>
                      </w:rPr>
                      <w:t>https://resourcecentre.savethechildren.net/node/1754/pdf/1754.pdf</w:t>
                    </w:r>
                    <w:r>
                      <w:rPr>
                        <w:noProof/>
                      </w:rPr>
                      <w:t xml:space="preserve"> (accessed on 4 October 2021).</w:t>
                    </w:r>
                  </w:p>
                </w:tc>
                <w:tc>
                  <w:tcPr>
                    <w:tcW w:w="600" w:type="dxa"/>
                    <w:noWrap/>
                    <w:hideMark/>
                  </w:tcPr>
                  <w:p w14:paraId="04C6B76C" w14:textId="77777777" w:rsidR="00307F9E" w:rsidRDefault="00307F9E">
                    <w:pPr>
                      <w:spacing w:before="100" w:beforeAutospacing="1" w:after="100" w:afterAutospacing="1"/>
                      <w:jc w:val="right"/>
                      <w:rPr>
                        <w:noProof/>
                      </w:rPr>
                    </w:pPr>
                    <w:r>
                      <w:rPr>
                        <w:noProof/>
                        <w:color w:val="000000"/>
                        <w:sz w:val="16"/>
                        <w:szCs w:val="16"/>
                      </w:rPr>
                      <w:t>[119]</w:t>
                    </w:r>
                  </w:p>
                </w:tc>
              </w:tr>
              <w:tr w:rsidR="00307F9E" w14:paraId="162A3185" w14:textId="77777777">
                <w:trPr>
                  <w:divId w:val="465852184"/>
                </w:trPr>
                <w:tc>
                  <w:tcPr>
                    <w:tcW w:w="0" w:type="auto"/>
                    <w:hideMark/>
                  </w:tcPr>
                  <w:p w14:paraId="39BDBE89" w14:textId="77777777" w:rsidR="00307F9E" w:rsidRDefault="00307F9E">
                    <w:pPr>
                      <w:pStyle w:val="Bibliography"/>
                      <w:rPr>
                        <w:noProof/>
                      </w:rPr>
                    </w:pPr>
                    <w:r>
                      <w:rPr>
                        <w:noProof/>
                      </w:rPr>
                      <w:lastRenderedPageBreak/>
                      <w:t xml:space="preserve">Poetsch, D., M. Jarrett and D. Angelo (2019), “Learning and teaching Gumbaynggirr through story: Behind the scenes of professional learning workshops for teachers of an Aboriginal language”, </w:t>
                    </w:r>
                    <w:r>
                      <w:rPr>
                        <w:i/>
                        <w:iCs/>
                        <w:noProof/>
                      </w:rPr>
                      <w:t>Language Documentation and Conservation</w:t>
                    </w:r>
                    <w:r>
                      <w:rPr>
                        <w:noProof/>
                      </w:rPr>
                      <w:t>, Vol. 13.</w:t>
                    </w:r>
                  </w:p>
                </w:tc>
                <w:tc>
                  <w:tcPr>
                    <w:tcW w:w="600" w:type="dxa"/>
                    <w:noWrap/>
                    <w:hideMark/>
                  </w:tcPr>
                  <w:p w14:paraId="3F435BEC" w14:textId="77777777" w:rsidR="00307F9E" w:rsidRDefault="00307F9E">
                    <w:pPr>
                      <w:spacing w:before="100" w:beforeAutospacing="1" w:after="100" w:afterAutospacing="1"/>
                      <w:jc w:val="right"/>
                      <w:rPr>
                        <w:noProof/>
                      </w:rPr>
                    </w:pPr>
                    <w:r>
                      <w:rPr>
                        <w:noProof/>
                        <w:color w:val="000000"/>
                        <w:sz w:val="16"/>
                        <w:szCs w:val="16"/>
                      </w:rPr>
                      <w:t>[215]</w:t>
                    </w:r>
                  </w:p>
                </w:tc>
              </w:tr>
              <w:tr w:rsidR="00307F9E" w14:paraId="3C886B7F" w14:textId="77777777">
                <w:trPr>
                  <w:divId w:val="465852184"/>
                </w:trPr>
                <w:tc>
                  <w:tcPr>
                    <w:tcW w:w="0" w:type="auto"/>
                    <w:hideMark/>
                  </w:tcPr>
                  <w:p w14:paraId="6BBA8B6A" w14:textId="77777777" w:rsidR="00307F9E" w:rsidRDefault="00307F9E">
                    <w:pPr>
                      <w:pStyle w:val="Bibliography"/>
                      <w:rPr>
                        <w:noProof/>
                      </w:rPr>
                    </w:pPr>
                    <w:r>
                      <w:rPr>
                        <w:noProof/>
                      </w:rPr>
                      <w:t xml:space="preserve">Ponsonnet, M. (2020), “Indigenous languages matter – but all is not lost when they change or even disappear”, </w:t>
                    </w:r>
                    <w:r>
                      <w:rPr>
                        <w:i/>
                        <w:iCs/>
                        <w:noProof/>
                      </w:rPr>
                      <w:t>The Conversation</w:t>
                    </w:r>
                    <w:r>
                      <w:rPr>
                        <w:noProof/>
                      </w:rPr>
                      <w:t xml:space="preserve">, </w:t>
                    </w:r>
                    <w:r>
                      <w:rPr>
                        <w:noProof/>
                        <w:color w:val="0000FF"/>
                        <w:u w:val="single"/>
                      </w:rPr>
                      <w:t>https://theconversation.com/indigenous-languages-matter-but-all-is-not-lost-when-they-change-or-even-disappear-127519</w:t>
                    </w:r>
                    <w:r>
                      <w:rPr>
                        <w:noProof/>
                      </w:rPr>
                      <w:t xml:space="preserve"> (accessed on 24 September 2021).</w:t>
                    </w:r>
                  </w:p>
                </w:tc>
                <w:tc>
                  <w:tcPr>
                    <w:tcW w:w="600" w:type="dxa"/>
                    <w:noWrap/>
                    <w:hideMark/>
                  </w:tcPr>
                  <w:p w14:paraId="6E834203" w14:textId="77777777" w:rsidR="00307F9E" w:rsidRDefault="00307F9E">
                    <w:pPr>
                      <w:spacing w:before="100" w:beforeAutospacing="1" w:after="100" w:afterAutospacing="1"/>
                      <w:jc w:val="right"/>
                      <w:rPr>
                        <w:noProof/>
                      </w:rPr>
                    </w:pPr>
                    <w:r>
                      <w:rPr>
                        <w:noProof/>
                        <w:color w:val="000000"/>
                        <w:sz w:val="16"/>
                        <w:szCs w:val="16"/>
                      </w:rPr>
                      <w:t>[41]</w:t>
                    </w:r>
                  </w:p>
                </w:tc>
              </w:tr>
              <w:tr w:rsidR="00307F9E" w14:paraId="5229DB17" w14:textId="77777777">
                <w:trPr>
                  <w:divId w:val="465852184"/>
                </w:trPr>
                <w:tc>
                  <w:tcPr>
                    <w:tcW w:w="0" w:type="auto"/>
                    <w:hideMark/>
                  </w:tcPr>
                  <w:p w14:paraId="5890AB18" w14:textId="77777777" w:rsidR="00307F9E" w:rsidRDefault="00307F9E">
                    <w:pPr>
                      <w:pStyle w:val="Bibliography"/>
                      <w:rPr>
                        <w:noProof/>
                      </w:rPr>
                    </w:pPr>
                    <w:r>
                      <w:rPr>
                        <w:noProof/>
                      </w:rPr>
                      <w:t xml:space="preserve">Province of New Brunswick (2016), </w:t>
                    </w:r>
                    <w:r>
                      <w:rPr>
                        <w:i/>
                        <w:iCs/>
                        <w:noProof/>
                      </w:rPr>
                      <w:t>Expecting the best from everyone: Recommendations for a 10-year education plan (Anglophone sector)</w:t>
                    </w:r>
                    <w:r>
                      <w:rPr>
                        <w:noProof/>
                      </w:rPr>
                      <w:t xml:space="preserve">, </w:t>
                    </w:r>
                    <w:r>
                      <w:rPr>
                        <w:noProof/>
                        <w:color w:val="0000FF"/>
                        <w:u w:val="single"/>
                      </w:rPr>
                      <w:t>https://www2.gnb.ca/content/dam/gnb/Departments/ed/pdf/Publications/ExpectingTheBest-AngloSummary.pdf</w:t>
                    </w:r>
                    <w:r>
                      <w:rPr>
                        <w:noProof/>
                      </w:rPr>
                      <w:t xml:space="preserve"> (accessed on 4 October 2021).</w:t>
                    </w:r>
                  </w:p>
                </w:tc>
                <w:tc>
                  <w:tcPr>
                    <w:tcW w:w="600" w:type="dxa"/>
                    <w:noWrap/>
                    <w:hideMark/>
                  </w:tcPr>
                  <w:p w14:paraId="4100AE41" w14:textId="77777777" w:rsidR="00307F9E" w:rsidRDefault="00307F9E">
                    <w:pPr>
                      <w:spacing w:before="100" w:beforeAutospacing="1" w:after="100" w:afterAutospacing="1"/>
                      <w:jc w:val="right"/>
                      <w:rPr>
                        <w:noProof/>
                      </w:rPr>
                    </w:pPr>
                    <w:r>
                      <w:rPr>
                        <w:noProof/>
                        <w:color w:val="000000"/>
                        <w:sz w:val="16"/>
                        <w:szCs w:val="16"/>
                      </w:rPr>
                      <w:t>[100]</w:t>
                    </w:r>
                  </w:p>
                </w:tc>
              </w:tr>
              <w:tr w:rsidR="00307F9E" w14:paraId="385DE3C5" w14:textId="77777777">
                <w:trPr>
                  <w:divId w:val="465852184"/>
                </w:trPr>
                <w:tc>
                  <w:tcPr>
                    <w:tcW w:w="0" w:type="auto"/>
                    <w:hideMark/>
                  </w:tcPr>
                  <w:p w14:paraId="2AC6D547" w14:textId="77777777" w:rsidR="00307F9E" w:rsidRDefault="00307F9E">
                    <w:pPr>
                      <w:pStyle w:val="Bibliography"/>
                      <w:rPr>
                        <w:noProof/>
                      </w:rPr>
                    </w:pPr>
                    <w:r>
                      <w:rPr>
                        <w:noProof/>
                      </w:rPr>
                      <w:t xml:space="preserve">Queensland Studies Authority (2010), </w:t>
                    </w:r>
                    <w:r>
                      <w:rPr>
                        <w:i/>
                        <w:iCs/>
                        <w:noProof/>
                      </w:rPr>
                      <w:t>P–10 Aboriginal and Torres Strait Islander Languages syllabus</w:t>
                    </w:r>
                    <w:r>
                      <w:rPr>
                        <w:noProof/>
                      </w:rPr>
                      <w:t xml:space="preserve">, Queensland Studies Authority, Brisbane, </w:t>
                    </w:r>
                    <w:r>
                      <w:rPr>
                        <w:noProof/>
                        <w:color w:val="0000FF"/>
                        <w:u w:val="single"/>
                      </w:rPr>
                      <w:t>https://www.qcaa.qld.edu.au/downloads/p_10/atsi_languages_p-10_syll.pdf</w:t>
                    </w:r>
                    <w:r>
                      <w:rPr>
                        <w:noProof/>
                      </w:rPr>
                      <w:t xml:space="preserve"> (accessed on 4 October 2021).</w:t>
                    </w:r>
                  </w:p>
                </w:tc>
                <w:tc>
                  <w:tcPr>
                    <w:tcW w:w="600" w:type="dxa"/>
                    <w:noWrap/>
                    <w:hideMark/>
                  </w:tcPr>
                  <w:p w14:paraId="28F0C90E" w14:textId="77777777" w:rsidR="00307F9E" w:rsidRDefault="00307F9E">
                    <w:pPr>
                      <w:spacing w:before="100" w:beforeAutospacing="1" w:after="100" w:afterAutospacing="1"/>
                      <w:jc w:val="right"/>
                      <w:rPr>
                        <w:noProof/>
                      </w:rPr>
                    </w:pPr>
                    <w:r>
                      <w:rPr>
                        <w:noProof/>
                        <w:color w:val="000000"/>
                        <w:sz w:val="16"/>
                        <w:szCs w:val="16"/>
                      </w:rPr>
                      <w:t>[79]</w:t>
                    </w:r>
                  </w:p>
                </w:tc>
              </w:tr>
              <w:tr w:rsidR="00307F9E" w14:paraId="56DAF4AF" w14:textId="77777777">
                <w:trPr>
                  <w:divId w:val="465852184"/>
                </w:trPr>
                <w:tc>
                  <w:tcPr>
                    <w:tcW w:w="0" w:type="auto"/>
                    <w:hideMark/>
                  </w:tcPr>
                  <w:p w14:paraId="04F7D390" w14:textId="77777777" w:rsidR="00307F9E" w:rsidRDefault="00307F9E">
                    <w:pPr>
                      <w:pStyle w:val="Bibliography"/>
                      <w:rPr>
                        <w:noProof/>
                      </w:rPr>
                    </w:pPr>
                    <w:r>
                      <w:rPr>
                        <w:noProof/>
                      </w:rPr>
                      <w:t xml:space="preserve">Rau, C. and J. Ritchie (2011), “Ahakoaheiti: Early childhood pedagogies: Affirming of Māori children’s rights to Their culture”, </w:t>
                    </w:r>
                    <w:r>
                      <w:rPr>
                        <w:i/>
                        <w:iCs/>
                        <w:noProof/>
                      </w:rPr>
                      <w:t>Ear;y Education and Development</w:t>
                    </w:r>
                    <w:r>
                      <w:rPr>
                        <w:noProof/>
                      </w:rPr>
                      <w:t>, Vol. 22.</w:t>
                    </w:r>
                  </w:p>
                </w:tc>
                <w:tc>
                  <w:tcPr>
                    <w:tcW w:w="600" w:type="dxa"/>
                    <w:noWrap/>
                    <w:hideMark/>
                  </w:tcPr>
                  <w:p w14:paraId="327BEA5E" w14:textId="77777777" w:rsidR="00307F9E" w:rsidRDefault="00307F9E">
                    <w:pPr>
                      <w:spacing w:before="100" w:beforeAutospacing="1" w:after="100" w:afterAutospacing="1"/>
                      <w:jc w:val="right"/>
                      <w:rPr>
                        <w:noProof/>
                      </w:rPr>
                    </w:pPr>
                    <w:r>
                      <w:rPr>
                        <w:noProof/>
                        <w:color w:val="000000"/>
                        <w:sz w:val="16"/>
                        <w:szCs w:val="16"/>
                      </w:rPr>
                      <w:t>[24]</w:t>
                    </w:r>
                  </w:p>
                </w:tc>
              </w:tr>
              <w:tr w:rsidR="00307F9E" w14:paraId="5BC3E4D7" w14:textId="77777777">
                <w:trPr>
                  <w:divId w:val="465852184"/>
                </w:trPr>
                <w:tc>
                  <w:tcPr>
                    <w:tcW w:w="0" w:type="auto"/>
                    <w:hideMark/>
                  </w:tcPr>
                  <w:p w14:paraId="28E9C3EE" w14:textId="77777777" w:rsidR="00307F9E" w:rsidRDefault="00307F9E">
                    <w:pPr>
                      <w:pStyle w:val="Bibliography"/>
                      <w:rPr>
                        <w:noProof/>
                      </w:rPr>
                    </w:pPr>
                    <w:r>
                      <w:rPr>
                        <w:noProof/>
                      </w:rPr>
                      <w:t xml:space="preserve">Reese, L. et al. (2000), “Longitudinal analysis of the antecedents of emergent Spanish literacy and middle-school English reading achievement of Spanish-speaking students”, </w:t>
                    </w:r>
                    <w:r>
                      <w:rPr>
                        <w:i/>
                        <w:iCs/>
                        <w:noProof/>
                      </w:rPr>
                      <w:t>American Educational Research Journal</w:t>
                    </w:r>
                    <w:r>
                      <w:rPr>
                        <w:noProof/>
                      </w:rPr>
                      <w:t xml:space="preserve">, Vol. 37/3, pp. 633-662, </w:t>
                    </w:r>
                    <w:r>
                      <w:rPr>
                        <w:noProof/>
                        <w:color w:val="0000FF"/>
                        <w:u w:val="single"/>
                      </w:rPr>
                      <w:t>https://www.jstor.org/stable/1163484</w:t>
                    </w:r>
                    <w:r>
                      <w:rPr>
                        <w:noProof/>
                      </w:rPr>
                      <w:t xml:space="preserve"> (accessed on 4 October 2021).</w:t>
                    </w:r>
                  </w:p>
                </w:tc>
                <w:tc>
                  <w:tcPr>
                    <w:tcW w:w="600" w:type="dxa"/>
                    <w:noWrap/>
                    <w:hideMark/>
                  </w:tcPr>
                  <w:p w14:paraId="2B0E3995" w14:textId="77777777" w:rsidR="00307F9E" w:rsidRDefault="00307F9E">
                    <w:pPr>
                      <w:spacing w:before="100" w:beforeAutospacing="1" w:after="100" w:afterAutospacing="1"/>
                      <w:jc w:val="right"/>
                      <w:rPr>
                        <w:noProof/>
                      </w:rPr>
                    </w:pPr>
                    <w:r>
                      <w:rPr>
                        <w:noProof/>
                        <w:color w:val="000000"/>
                        <w:sz w:val="16"/>
                        <w:szCs w:val="16"/>
                      </w:rPr>
                      <w:t>[143]</w:t>
                    </w:r>
                  </w:p>
                </w:tc>
              </w:tr>
              <w:tr w:rsidR="00307F9E" w14:paraId="2F2E3F84" w14:textId="77777777">
                <w:trPr>
                  <w:divId w:val="465852184"/>
                </w:trPr>
                <w:tc>
                  <w:tcPr>
                    <w:tcW w:w="0" w:type="auto"/>
                    <w:hideMark/>
                  </w:tcPr>
                  <w:p w14:paraId="052EF289" w14:textId="77777777" w:rsidR="00307F9E" w:rsidRDefault="00307F9E">
                    <w:pPr>
                      <w:pStyle w:val="Bibliography"/>
                      <w:rPr>
                        <w:noProof/>
                      </w:rPr>
                    </w:pPr>
                    <w:r>
                      <w:rPr>
                        <w:noProof/>
                      </w:rPr>
                      <w:t xml:space="preserve">Rogoff, B., C. Goodman Turkanis and L. Bartlett (2001), </w:t>
                    </w:r>
                    <w:r>
                      <w:rPr>
                        <w:i/>
                        <w:iCs/>
                        <w:noProof/>
                      </w:rPr>
                      <w:t>Learning together: Children and adults in a school community</w:t>
                    </w:r>
                    <w:r>
                      <w:rPr>
                        <w:noProof/>
                      </w:rPr>
                      <w:t>, Oxford University Press, New York.</w:t>
                    </w:r>
                  </w:p>
                </w:tc>
                <w:tc>
                  <w:tcPr>
                    <w:tcW w:w="600" w:type="dxa"/>
                    <w:noWrap/>
                    <w:hideMark/>
                  </w:tcPr>
                  <w:p w14:paraId="751B30DB" w14:textId="77777777" w:rsidR="00307F9E" w:rsidRDefault="00307F9E">
                    <w:pPr>
                      <w:spacing w:before="100" w:beforeAutospacing="1" w:after="100" w:afterAutospacing="1"/>
                      <w:jc w:val="right"/>
                      <w:rPr>
                        <w:noProof/>
                      </w:rPr>
                    </w:pPr>
                    <w:r>
                      <w:rPr>
                        <w:noProof/>
                        <w:color w:val="000000"/>
                        <w:sz w:val="16"/>
                        <w:szCs w:val="16"/>
                      </w:rPr>
                      <w:t>[112]</w:t>
                    </w:r>
                  </w:p>
                </w:tc>
              </w:tr>
              <w:tr w:rsidR="00307F9E" w14:paraId="4882E037" w14:textId="77777777">
                <w:trPr>
                  <w:divId w:val="465852184"/>
                </w:trPr>
                <w:tc>
                  <w:tcPr>
                    <w:tcW w:w="0" w:type="auto"/>
                    <w:hideMark/>
                  </w:tcPr>
                  <w:p w14:paraId="1C476B78" w14:textId="77777777" w:rsidR="00307F9E" w:rsidRDefault="00307F9E">
                    <w:pPr>
                      <w:pStyle w:val="Bibliography"/>
                      <w:rPr>
                        <w:noProof/>
                      </w:rPr>
                    </w:pPr>
                    <w:r>
                      <w:rPr>
                        <w:noProof/>
                      </w:rPr>
                      <w:t xml:space="preserve">Romaine, S. (2013), “The bilingual and multilingual community”, in Bhatia, T. and W. Ritchie (eds.), </w:t>
                    </w:r>
                    <w:r>
                      <w:rPr>
                        <w:i/>
                        <w:iCs/>
                        <w:noProof/>
                      </w:rPr>
                      <w:t>The handbook of multilingualism and bilingualism (2nd Ed)</w:t>
                    </w:r>
                    <w:r>
                      <w:rPr>
                        <w:noProof/>
                      </w:rPr>
                      <w:t>, Blackwell, Oxford.</w:t>
                    </w:r>
                  </w:p>
                </w:tc>
                <w:tc>
                  <w:tcPr>
                    <w:tcW w:w="600" w:type="dxa"/>
                    <w:noWrap/>
                    <w:hideMark/>
                  </w:tcPr>
                  <w:p w14:paraId="7AF29D20" w14:textId="77777777" w:rsidR="00307F9E" w:rsidRDefault="00307F9E">
                    <w:pPr>
                      <w:spacing w:before="100" w:beforeAutospacing="1" w:after="100" w:afterAutospacing="1"/>
                      <w:jc w:val="right"/>
                      <w:rPr>
                        <w:noProof/>
                      </w:rPr>
                    </w:pPr>
                    <w:r>
                      <w:rPr>
                        <w:noProof/>
                        <w:color w:val="000000"/>
                        <w:sz w:val="16"/>
                        <w:szCs w:val="16"/>
                      </w:rPr>
                      <w:t>[165]</w:t>
                    </w:r>
                  </w:p>
                </w:tc>
              </w:tr>
              <w:tr w:rsidR="00307F9E" w14:paraId="35530C74" w14:textId="77777777">
                <w:trPr>
                  <w:divId w:val="465852184"/>
                </w:trPr>
                <w:tc>
                  <w:tcPr>
                    <w:tcW w:w="0" w:type="auto"/>
                    <w:hideMark/>
                  </w:tcPr>
                  <w:p w14:paraId="5FE0871A" w14:textId="77777777" w:rsidR="00307F9E" w:rsidRDefault="00307F9E">
                    <w:pPr>
                      <w:pStyle w:val="Bibliography"/>
                      <w:rPr>
                        <w:noProof/>
                      </w:rPr>
                    </w:pPr>
                    <w:r>
                      <w:rPr>
                        <w:noProof/>
                      </w:rPr>
                      <w:t xml:space="preserve">Rudd, K. (2008), </w:t>
                    </w:r>
                    <w:r>
                      <w:rPr>
                        <w:i/>
                        <w:iCs/>
                        <w:noProof/>
                      </w:rPr>
                      <w:t>Apology to Australia’s Indigenous peoples</w:t>
                    </w:r>
                    <w:r>
                      <w:rPr>
                        <w:noProof/>
                      </w:rPr>
                      <w:t xml:space="preserve">, Parliament of Australia, Canberra, </w:t>
                    </w:r>
                    <w:r>
                      <w:rPr>
                        <w:noProof/>
                        <w:color w:val="0000FF"/>
                        <w:u w:val="single"/>
                      </w:rPr>
                      <w:t>https://parlinfo.aph.gov.au/parlInfo/genpdf/chamber/hansardr/2008-02-13/0003/hansard_frag.pdf;fileType=application/pdf</w:t>
                    </w:r>
                    <w:r>
                      <w:rPr>
                        <w:noProof/>
                      </w:rPr>
                      <w:t xml:space="preserve"> (accessed on 24 September 2021).</w:t>
                    </w:r>
                  </w:p>
                </w:tc>
                <w:tc>
                  <w:tcPr>
                    <w:tcW w:w="600" w:type="dxa"/>
                    <w:noWrap/>
                    <w:hideMark/>
                  </w:tcPr>
                  <w:p w14:paraId="43ABEA94" w14:textId="77777777" w:rsidR="00307F9E" w:rsidRDefault="00307F9E">
                    <w:pPr>
                      <w:spacing w:before="100" w:beforeAutospacing="1" w:after="100" w:afterAutospacing="1"/>
                      <w:jc w:val="right"/>
                      <w:rPr>
                        <w:noProof/>
                      </w:rPr>
                    </w:pPr>
                    <w:r>
                      <w:rPr>
                        <w:noProof/>
                        <w:color w:val="000000"/>
                        <w:sz w:val="16"/>
                        <w:szCs w:val="16"/>
                      </w:rPr>
                      <w:t>[19]</w:t>
                    </w:r>
                  </w:p>
                </w:tc>
              </w:tr>
              <w:tr w:rsidR="00307F9E" w14:paraId="6C626B55" w14:textId="77777777">
                <w:trPr>
                  <w:divId w:val="465852184"/>
                </w:trPr>
                <w:tc>
                  <w:tcPr>
                    <w:tcW w:w="0" w:type="auto"/>
                    <w:hideMark/>
                  </w:tcPr>
                  <w:p w14:paraId="4E118C11" w14:textId="77777777" w:rsidR="00307F9E" w:rsidRDefault="00307F9E">
                    <w:pPr>
                      <w:pStyle w:val="Bibliography"/>
                      <w:rPr>
                        <w:noProof/>
                      </w:rPr>
                    </w:pPr>
                    <w:r>
                      <w:rPr>
                        <w:noProof/>
                      </w:rPr>
                      <w:t xml:space="preserve">Saskatchewan Education Training and Employment (1994), </w:t>
                    </w:r>
                    <w:r>
                      <w:rPr>
                        <w:i/>
                        <w:iCs/>
                        <w:noProof/>
                      </w:rPr>
                      <w:t>Aboriginal Languages: A Curriculum Guide for Kindergarten to Grade 12</w:t>
                    </w:r>
                    <w:r>
                      <w:rPr>
                        <w:noProof/>
                      </w:rPr>
                      <w:t xml:space="preserve">, </w:t>
                    </w:r>
                    <w:r>
                      <w:rPr>
                        <w:noProof/>
                        <w:color w:val="0000FF"/>
                        <w:u w:val="single"/>
                      </w:rPr>
                      <w:t>https://www.edonline.sk.ca/bbcswebdav/xid-181909_1</w:t>
                    </w:r>
                    <w:r>
                      <w:rPr>
                        <w:noProof/>
                      </w:rPr>
                      <w:t xml:space="preserve"> (accessed on 4 October 2021).</w:t>
                    </w:r>
                  </w:p>
                </w:tc>
                <w:tc>
                  <w:tcPr>
                    <w:tcW w:w="600" w:type="dxa"/>
                    <w:noWrap/>
                    <w:hideMark/>
                  </w:tcPr>
                  <w:p w14:paraId="12373E6C" w14:textId="77777777" w:rsidR="00307F9E" w:rsidRDefault="00307F9E">
                    <w:pPr>
                      <w:spacing w:before="100" w:beforeAutospacing="1" w:after="100" w:afterAutospacing="1"/>
                      <w:jc w:val="right"/>
                      <w:rPr>
                        <w:noProof/>
                      </w:rPr>
                    </w:pPr>
                    <w:r>
                      <w:rPr>
                        <w:noProof/>
                        <w:color w:val="000000"/>
                        <w:sz w:val="16"/>
                        <w:szCs w:val="16"/>
                      </w:rPr>
                      <w:t>[99]</w:t>
                    </w:r>
                  </w:p>
                </w:tc>
              </w:tr>
              <w:tr w:rsidR="00307F9E" w14:paraId="1F5B4E20" w14:textId="77777777">
                <w:trPr>
                  <w:divId w:val="465852184"/>
                </w:trPr>
                <w:tc>
                  <w:tcPr>
                    <w:tcW w:w="0" w:type="auto"/>
                    <w:hideMark/>
                  </w:tcPr>
                  <w:p w14:paraId="16BC7B44" w14:textId="77777777" w:rsidR="00307F9E" w:rsidRDefault="00307F9E">
                    <w:pPr>
                      <w:pStyle w:val="Bibliography"/>
                      <w:rPr>
                        <w:noProof/>
                      </w:rPr>
                    </w:pPr>
                    <w:r>
                      <w:rPr>
                        <w:noProof/>
                      </w:rPr>
                      <w:t xml:space="preserve">Saunders, W. and G. O’Brien (2006), “Oral language”, in Genesee, F. (ed.), </w:t>
                    </w:r>
                    <w:r>
                      <w:rPr>
                        <w:i/>
                        <w:iCs/>
                        <w:noProof/>
                      </w:rPr>
                      <w:t>Educating English language learners: A synthesis of research evidence</w:t>
                    </w:r>
                    <w:r>
                      <w:rPr>
                        <w:noProof/>
                      </w:rPr>
                      <w:t>, Cambridge University Press, New York.</w:t>
                    </w:r>
                  </w:p>
                </w:tc>
                <w:tc>
                  <w:tcPr>
                    <w:tcW w:w="600" w:type="dxa"/>
                    <w:noWrap/>
                    <w:hideMark/>
                  </w:tcPr>
                  <w:p w14:paraId="57D19C05" w14:textId="77777777" w:rsidR="00307F9E" w:rsidRDefault="00307F9E">
                    <w:pPr>
                      <w:spacing w:before="100" w:beforeAutospacing="1" w:after="100" w:afterAutospacing="1"/>
                      <w:jc w:val="right"/>
                      <w:rPr>
                        <w:noProof/>
                      </w:rPr>
                    </w:pPr>
                    <w:r>
                      <w:rPr>
                        <w:noProof/>
                        <w:color w:val="000000"/>
                        <w:sz w:val="16"/>
                        <w:szCs w:val="16"/>
                      </w:rPr>
                      <w:t>[138]</w:t>
                    </w:r>
                  </w:p>
                </w:tc>
              </w:tr>
              <w:tr w:rsidR="00307F9E" w14:paraId="7F883ECA" w14:textId="77777777">
                <w:trPr>
                  <w:divId w:val="465852184"/>
                </w:trPr>
                <w:tc>
                  <w:tcPr>
                    <w:tcW w:w="0" w:type="auto"/>
                    <w:hideMark/>
                  </w:tcPr>
                  <w:p w14:paraId="0CD0E118" w14:textId="77777777" w:rsidR="00307F9E" w:rsidRDefault="00307F9E">
                    <w:pPr>
                      <w:pStyle w:val="Bibliography"/>
                      <w:rPr>
                        <w:noProof/>
                      </w:rPr>
                    </w:pPr>
                    <w:r>
                      <w:rPr>
                        <w:noProof/>
                      </w:rPr>
                      <w:t xml:space="preserve">Saville-Troike, M. (1982), </w:t>
                    </w:r>
                    <w:r>
                      <w:rPr>
                        <w:i/>
                        <w:iCs/>
                        <w:noProof/>
                      </w:rPr>
                      <w:t>The ethnography of communication: An introduction</w:t>
                    </w:r>
                    <w:r>
                      <w:rPr>
                        <w:noProof/>
                      </w:rPr>
                      <w:t>, WIley Blackwell, London/Malden.</w:t>
                    </w:r>
                  </w:p>
                </w:tc>
                <w:tc>
                  <w:tcPr>
                    <w:tcW w:w="600" w:type="dxa"/>
                    <w:noWrap/>
                    <w:hideMark/>
                  </w:tcPr>
                  <w:p w14:paraId="4458036D" w14:textId="77777777" w:rsidR="00307F9E" w:rsidRDefault="00307F9E">
                    <w:pPr>
                      <w:spacing w:before="100" w:beforeAutospacing="1" w:after="100" w:afterAutospacing="1"/>
                      <w:jc w:val="right"/>
                      <w:rPr>
                        <w:noProof/>
                      </w:rPr>
                    </w:pPr>
                    <w:r>
                      <w:rPr>
                        <w:noProof/>
                        <w:color w:val="000000"/>
                        <w:sz w:val="16"/>
                        <w:szCs w:val="16"/>
                      </w:rPr>
                      <w:t>[135]</w:t>
                    </w:r>
                  </w:p>
                </w:tc>
              </w:tr>
              <w:tr w:rsidR="00307F9E" w14:paraId="48C6271B" w14:textId="77777777">
                <w:trPr>
                  <w:divId w:val="465852184"/>
                </w:trPr>
                <w:tc>
                  <w:tcPr>
                    <w:tcW w:w="0" w:type="auto"/>
                    <w:hideMark/>
                  </w:tcPr>
                  <w:p w14:paraId="28DDD58D" w14:textId="77777777" w:rsidR="00307F9E" w:rsidRDefault="00307F9E">
                    <w:pPr>
                      <w:pStyle w:val="Bibliography"/>
                      <w:rPr>
                        <w:noProof/>
                      </w:rPr>
                    </w:pPr>
                    <w:r>
                      <w:rPr>
                        <w:noProof/>
                      </w:rPr>
                      <w:t xml:space="preserve">Schmidt, A. (1990), </w:t>
                    </w:r>
                    <w:r>
                      <w:rPr>
                        <w:i/>
                        <w:iCs/>
                        <w:noProof/>
                      </w:rPr>
                      <w:t>The loss of Australia’s Aboriginal language heritage</w:t>
                    </w:r>
                    <w:r>
                      <w:rPr>
                        <w:noProof/>
                      </w:rPr>
                      <w:t>, Aboriginal Studies Press, Canberra.</w:t>
                    </w:r>
                  </w:p>
                </w:tc>
                <w:tc>
                  <w:tcPr>
                    <w:tcW w:w="600" w:type="dxa"/>
                    <w:noWrap/>
                    <w:hideMark/>
                  </w:tcPr>
                  <w:p w14:paraId="615659F6" w14:textId="77777777" w:rsidR="00307F9E" w:rsidRDefault="00307F9E">
                    <w:pPr>
                      <w:spacing w:before="100" w:beforeAutospacing="1" w:after="100" w:afterAutospacing="1"/>
                      <w:jc w:val="right"/>
                      <w:rPr>
                        <w:noProof/>
                      </w:rPr>
                    </w:pPr>
                    <w:r>
                      <w:rPr>
                        <w:noProof/>
                        <w:color w:val="000000"/>
                        <w:sz w:val="16"/>
                        <w:szCs w:val="16"/>
                      </w:rPr>
                      <w:t>[16]</w:t>
                    </w:r>
                  </w:p>
                </w:tc>
              </w:tr>
              <w:tr w:rsidR="00307F9E" w14:paraId="2748596E" w14:textId="77777777">
                <w:trPr>
                  <w:divId w:val="465852184"/>
                </w:trPr>
                <w:tc>
                  <w:tcPr>
                    <w:tcW w:w="0" w:type="auto"/>
                    <w:hideMark/>
                  </w:tcPr>
                  <w:p w14:paraId="74D7107F" w14:textId="77777777" w:rsidR="00307F9E" w:rsidRDefault="00307F9E">
                    <w:pPr>
                      <w:pStyle w:val="Bibliography"/>
                      <w:rPr>
                        <w:noProof/>
                      </w:rPr>
                    </w:pPr>
                    <w:r>
                      <w:rPr>
                        <w:noProof/>
                      </w:rPr>
                      <w:t xml:space="preserve">School Curriculum and Standards Authority (2017), </w:t>
                    </w:r>
                    <w:r>
                      <w:rPr>
                        <w:i/>
                        <w:iCs/>
                        <w:noProof/>
                      </w:rPr>
                      <w:t>Aboriginal Languages and Torres Strait Islander Languages Framework</w:t>
                    </w:r>
                    <w:r>
                      <w:rPr>
                        <w:noProof/>
                      </w:rPr>
                      <w:t xml:space="preserve">, Government of Western Australia, Perth, </w:t>
                    </w:r>
                    <w:r>
                      <w:rPr>
                        <w:noProof/>
                        <w:color w:val="0000FF"/>
                        <w:u w:val="single"/>
                      </w:rPr>
                      <w:t>https://k10outline.scsa.wa.edu.au/home/teaching/curriculum-browser/languages/ac-languages/ac-languages2/aboriginal-languages</w:t>
                    </w:r>
                    <w:r>
                      <w:rPr>
                        <w:noProof/>
                      </w:rPr>
                      <w:t xml:space="preserve"> (accessed on 4 October 2021).</w:t>
                    </w:r>
                  </w:p>
                </w:tc>
                <w:tc>
                  <w:tcPr>
                    <w:tcW w:w="600" w:type="dxa"/>
                    <w:noWrap/>
                    <w:hideMark/>
                  </w:tcPr>
                  <w:p w14:paraId="79A0C23B" w14:textId="77777777" w:rsidR="00307F9E" w:rsidRDefault="00307F9E">
                    <w:pPr>
                      <w:spacing w:before="100" w:beforeAutospacing="1" w:after="100" w:afterAutospacing="1"/>
                      <w:jc w:val="right"/>
                      <w:rPr>
                        <w:noProof/>
                      </w:rPr>
                    </w:pPr>
                    <w:r>
                      <w:rPr>
                        <w:noProof/>
                        <w:color w:val="000000"/>
                        <w:sz w:val="16"/>
                        <w:szCs w:val="16"/>
                      </w:rPr>
                      <w:t>[85]</w:t>
                    </w:r>
                  </w:p>
                </w:tc>
              </w:tr>
              <w:tr w:rsidR="00307F9E" w14:paraId="4CFE2AC3" w14:textId="77777777">
                <w:trPr>
                  <w:divId w:val="465852184"/>
                </w:trPr>
                <w:tc>
                  <w:tcPr>
                    <w:tcW w:w="0" w:type="auto"/>
                    <w:hideMark/>
                  </w:tcPr>
                  <w:p w14:paraId="1D9B9E84" w14:textId="77777777" w:rsidR="00307F9E" w:rsidRDefault="00307F9E">
                    <w:pPr>
                      <w:pStyle w:val="Bibliography"/>
                      <w:rPr>
                        <w:noProof/>
                      </w:rPr>
                    </w:pPr>
                    <w:r>
                      <w:rPr>
                        <w:noProof/>
                      </w:rPr>
                      <w:lastRenderedPageBreak/>
                      <w:t xml:space="preserve">Siegel, J. (2010), </w:t>
                    </w:r>
                    <w:r>
                      <w:rPr>
                        <w:i/>
                        <w:iCs/>
                        <w:noProof/>
                      </w:rPr>
                      <w:t>Second Dialect Acquisition</w:t>
                    </w:r>
                    <w:r>
                      <w:rPr>
                        <w:noProof/>
                      </w:rPr>
                      <w:t>, Cambridge University Press, Cambridge.</w:t>
                    </w:r>
                  </w:p>
                </w:tc>
                <w:tc>
                  <w:tcPr>
                    <w:tcW w:w="600" w:type="dxa"/>
                    <w:noWrap/>
                    <w:hideMark/>
                  </w:tcPr>
                  <w:p w14:paraId="761CE15A" w14:textId="77777777" w:rsidR="00307F9E" w:rsidRDefault="00307F9E">
                    <w:pPr>
                      <w:spacing w:before="100" w:beforeAutospacing="1" w:after="100" w:afterAutospacing="1"/>
                      <w:jc w:val="right"/>
                      <w:rPr>
                        <w:noProof/>
                      </w:rPr>
                    </w:pPr>
                    <w:r>
                      <w:rPr>
                        <w:noProof/>
                        <w:color w:val="000000"/>
                        <w:sz w:val="16"/>
                        <w:szCs w:val="16"/>
                      </w:rPr>
                      <w:t>[131]</w:t>
                    </w:r>
                  </w:p>
                </w:tc>
              </w:tr>
              <w:tr w:rsidR="00307F9E" w14:paraId="49012E06" w14:textId="77777777">
                <w:trPr>
                  <w:divId w:val="465852184"/>
                </w:trPr>
                <w:tc>
                  <w:tcPr>
                    <w:tcW w:w="0" w:type="auto"/>
                    <w:hideMark/>
                  </w:tcPr>
                  <w:p w14:paraId="4DBB586D" w14:textId="77777777" w:rsidR="00307F9E" w:rsidRDefault="00307F9E">
                    <w:pPr>
                      <w:pStyle w:val="Bibliography"/>
                      <w:rPr>
                        <w:noProof/>
                      </w:rPr>
                    </w:pPr>
                    <w:r>
                      <w:rPr>
                        <w:noProof/>
                      </w:rPr>
                      <w:t xml:space="preserve">Simpson, J.; Caffery, J.; McConvell, P. (2009), </w:t>
                    </w:r>
                    <w:r>
                      <w:rPr>
                        <w:i/>
                        <w:iCs/>
                        <w:noProof/>
                      </w:rPr>
                      <w:t>Gaps in Australia’s Indigenous language policy: Dismantling bilingual education in the Northern Territory. Discussion Paper</w:t>
                    </w:r>
                    <w:r>
                      <w:rPr>
                        <w:noProof/>
                      </w:rPr>
                      <w:t>, Australian Institute for Aboriginal and Torres Strait Islander Studies, Canberra.</w:t>
                    </w:r>
                  </w:p>
                </w:tc>
                <w:tc>
                  <w:tcPr>
                    <w:tcW w:w="600" w:type="dxa"/>
                    <w:noWrap/>
                    <w:hideMark/>
                  </w:tcPr>
                  <w:p w14:paraId="273C226B" w14:textId="77777777" w:rsidR="00307F9E" w:rsidRDefault="00307F9E">
                    <w:pPr>
                      <w:spacing w:before="100" w:beforeAutospacing="1" w:after="100" w:afterAutospacing="1"/>
                      <w:jc w:val="right"/>
                      <w:rPr>
                        <w:noProof/>
                      </w:rPr>
                    </w:pPr>
                    <w:r>
                      <w:rPr>
                        <w:noProof/>
                        <w:color w:val="000000"/>
                        <w:sz w:val="16"/>
                        <w:szCs w:val="16"/>
                      </w:rPr>
                      <w:t>[76]</w:t>
                    </w:r>
                  </w:p>
                </w:tc>
              </w:tr>
              <w:tr w:rsidR="00307F9E" w14:paraId="4636336A" w14:textId="77777777">
                <w:trPr>
                  <w:divId w:val="465852184"/>
                </w:trPr>
                <w:tc>
                  <w:tcPr>
                    <w:tcW w:w="0" w:type="auto"/>
                    <w:hideMark/>
                  </w:tcPr>
                  <w:p w14:paraId="4D4F7D23" w14:textId="77777777" w:rsidR="00307F9E" w:rsidRDefault="00307F9E">
                    <w:pPr>
                      <w:pStyle w:val="Bibliography"/>
                      <w:rPr>
                        <w:noProof/>
                      </w:rPr>
                    </w:pPr>
                    <w:r>
                      <w:rPr>
                        <w:noProof/>
                      </w:rPr>
                      <w:t xml:space="preserve">Simpson, J. (2019), “The state of Australia’s Indigenous languages – and how we can help people speak them more often”, </w:t>
                    </w:r>
                    <w:r>
                      <w:rPr>
                        <w:i/>
                        <w:iCs/>
                        <w:noProof/>
                      </w:rPr>
                      <w:t>The Conversation</w:t>
                    </w:r>
                    <w:r>
                      <w:rPr>
                        <w:noProof/>
                      </w:rPr>
                      <w:t xml:space="preserve">, </w:t>
                    </w:r>
                    <w:r>
                      <w:rPr>
                        <w:noProof/>
                        <w:color w:val="0000FF"/>
                        <w:u w:val="single"/>
                      </w:rPr>
                      <w:t>https://theconversation.com/the-state-of-australias-indigenous-languages-and-how-we-can-help-people-speak-them-more-often-109662</w:t>
                    </w:r>
                    <w:r>
                      <w:rPr>
                        <w:noProof/>
                      </w:rPr>
                      <w:t xml:space="preserve"> (accessed on 24 September 2021).</w:t>
                    </w:r>
                  </w:p>
                </w:tc>
                <w:tc>
                  <w:tcPr>
                    <w:tcW w:w="600" w:type="dxa"/>
                    <w:noWrap/>
                    <w:hideMark/>
                  </w:tcPr>
                  <w:p w14:paraId="7D808333" w14:textId="77777777" w:rsidR="00307F9E" w:rsidRDefault="00307F9E">
                    <w:pPr>
                      <w:spacing w:before="100" w:beforeAutospacing="1" w:after="100" w:afterAutospacing="1"/>
                      <w:jc w:val="right"/>
                      <w:rPr>
                        <w:noProof/>
                      </w:rPr>
                    </w:pPr>
                    <w:r>
                      <w:rPr>
                        <w:noProof/>
                        <w:color w:val="000000"/>
                        <w:sz w:val="16"/>
                        <w:szCs w:val="16"/>
                      </w:rPr>
                      <w:t>[14]</w:t>
                    </w:r>
                  </w:p>
                </w:tc>
              </w:tr>
              <w:tr w:rsidR="00307F9E" w14:paraId="24F0B7BF" w14:textId="77777777">
                <w:trPr>
                  <w:divId w:val="465852184"/>
                </w:trPr>
                <w:tc>
                  <w:tcPr>
                    <w:tcW w:w="0" w:type="auto"/>
                    <w:hideMark/>
                  </w:tcPr>
                  <w:p w14:paraId="285F34F6" w14:textId="77777777" w:rsidR="00307F9E" w:rsidRDefault="00307F9E">
                    <w:pPr>
                      <w:pStyle w:val="Bibliography"/>
                      <w:rPr>
                        <w:noProof/>
                      </w:rPr>
                    </w:pPr>
                    <w:r>
                      <w:rPr>
                        <w:noProof/>
                      </w:rPr>
                      <w:t xml:space="preserve">Singer, R. (2018), “A small speech community with many small languages: The role of receptive multilingualism in supporting linguistic diversity at Warruwi Community (Australia)”, </w:t>
                    </w:r>
                    <w:r>
                      <w:rPr>
                        <w:i/>
                        <w:iCs/>
                        <w:noProof/>
                      </w:rPr>
                      <w:t>Language and Communication</w:t>
                    </w:r>
                    <w:r>
                      <w:rPr>
                        <w:noProof/>
                      </w:rPr>
                      <w:t>, Vol. 62.</w:t>
                    </w:r>
                  </w:p>
                </w:tc>
                <w:tc>
                  <w:tcPr>
                    <w:tcW w:w="600" w:type="dxa"/>
                    <w:noWrap/>
                    <w:hideMark/>
                  </w:tcPr>
                  <w:p w14:paraId="677F97D5" w14:textId="77777777" w:rsidR="00307F9E" w:rsidRDefault="00307F9E">
                    <w:pPr>
                      <w:spacing w:before="100" w:beforeAutospacing="1" w:after="100" w:afterAutospacing="1"/>
                      <w:jc w:val="right"/>
                      <w:rPr>
                        <w:noProof/>
                      </w:rPr>
                    </w:pPr>
                    <w:r>
                      <w:rPr>
                        <w:noProof/>
                        <w:color w:val="000000"/>
                        <w:sz w:val="16"/>
                        <w:szCs w:val="16"/>
                      </w:rPr>
                      <w:t>[161]</w:t>
                    </w:r>
                  </w:p>
                </w:tc>
              </w:tr>
              <w:tr w:rsidR="00307F9E" w14:paraId="45CE7C5D" w14:textId="77777777">
                <w:trPr>
                  <w:divId w:val="465852184"/>
                </w:trPr>
                <w:tc>
                  <w:tcPr>
                    <w:tcW w:w="0" w:type="auto"/>
                    <w:hideMark/>
                  </w:tcPr>
                  <w:p w14:paraId="41C5ED68" w14:textId="77777777" w:rsidR="00307F9E" w:rsidRDefault="00307F9E">
                    <w:pPr>
                      <w:pStyle w:val="Bibliography"/>
                      <w:rPr>
                        <w:noProof/>
                      </w:rPr>
                    </w:pPr>
                    <w:r>
                      <w:rPr>
                        <w:noProof/>
                      </w:rPr>
                      <w:t xml:space="preserve">Skutnabb-Kangas, T., R. Phillipson and R. Dunbar (2019), </w:t>
                    </w:r>
                    <w:r>
                      <w:rPr>
                        <w:i/>
                        <w:iCs/>
                        <w:noProof/>
                      </w:rPr>
                      <w:t>Is Nunavut education criminally inadequate? An analysis of current policies for Inuktut and English in education, international and national law, linguistic and cultural genocide and crimes against humanity</w:t>
                    </w:r>
                    <w:r>
                      <w:rPr>
                        <w:noProof/>
                      </w:rPr>
                      <w:t xml:space="preserve">, Iqaluit, Nunacut Tunngavik Incorporated, </w:t>
                    </w:r>
                    <w:r>
                      <w:rPr>
                        <w:noProof/>
                        <w:color w:val="0000FF"/>
                        <w:u w:val="single"/>
                      </w:rPr>
                      <w:t>https://www.tunngavik.com/files/2019/04/NuLinguicideReportFINAL.pdf</w:t>
                    </w:r>
                    <w:r>
                      <w:rPr>
                        <w:noProof/>
                      </w:rPr>
                      <w:t xml:space="preserve"> (accessed on 4 October 2021).</w:t>
                    </w:r>
                  </w:p>
                </w:tc>
                <w:tc>
                  <w:tcPr>
                    <w:tcW w:w="600" w:type="dxa"/>
                    <w:noWrap/>
                    <w:hideMark/>
                  </w:tcPr>
                  <w:p w14:paraId="61319282" w14:textId="77777777" w:rsidR="00307F9E" w:rsidRDefault="00307F9E">
                    <w:pPr>
                      <w:spacing w:before="100" w:beforeAutospacing="1" w:after="100" w:afterAutospacing="1"/>
                      <w:jc w:val="right"/>
                      <w:rPr>
                        <w:noProof/>
                      </w:rPr>
                    </w:pPr>
                    <w:r>
                      <w:rPr>
                        <w:noProof/>
                        <w:color w:val="000000"/>
                        <w:sz w:val="16"/>
                        <w:szCs w:val="16"/>
                      </w:rPr>
                      <w:t>[205]</w:t>
                    </w:r>
                  </w:p>
                </w:tc>
              </w:tr>
              <w:tr w:rsidR="00307F9E" w14:paraId="1E0BDE37" w14:textId="77777777">
                <w:trPr>
                  <w:divId w:val="465852184"/>
                </w:trPr>
                <w:tc>
                  <w:tcPr>
                    <w:tcW w:w="0" w:type="auto"/>
                    <w:hideMark/>
                  </w:tcPr>
                  <w:p w14:paraId="1D85CE49" w14:textId="77777777" w:rsidR="00307F9E" w:rsidRDefault="00307F9E">
                    <w:pPr>
                      <w:pStyle w:val="Bibliography"/>
                      <w:rPr>
                        <w:noProof/>
                      </w:rPr>
                    </w:pPr>
                    <w:r>
                      <w:rPr>
                        <w:noProof/>
                      </w:rPr>
                      <w:t xml:space="preserve">Sparks, R. et al. (2009), “Long-term relationships among early first language skills, second language aptitude, second language affect, and later second language proficiency”, </w:t>
                    </w:r>
                    <w:r>
                      <w:rPr>
                        <w:i/>
                        <w:iCs/>
                        <w:noProof/>
                      </w:rPr>
                      <w:t>Applied Psycholinguistics</w:t>
                    </w:r>
                    <w:r>
                      <w:rPr>
                        <w:noProof/>
                      </w:rPr>
                      <w:t xml:space="preserve">, Vol. 30/4, pp. 725-755, </w:t>
                    </w:r>
                    <w:r>
                      <w:rPr>
                        <w:noProof/>
                        <w:color w:val="0000FF"/>
                        <w:u w:val="single"/>
                      </w:rPr>
                      <w:t>https://doi.org/10.1017/S0142716409990099</w:t>
                    </w:r>
                    <w:r>
                      <w:rPr>
                        <w:noProof/>
                      </w:rPr>
                      <w:t>.</w:t>
                    </w:r>
                  </w:p>
                </w:tc>
                <w:tc>
                  <w:tcPr>
                    <w:tcW w:w="600" w:type="dxa"/>
                    <w:noWrap/>
                    <w:hideMark/>
                  </w:tcPr>
                  <w:p w14:paraId="31477979" w14:textId="77777777" w:rsidR="00307F9E" w:rsidRDefault="00307F9E">
                    <w:pPr>
                      <w:spacing w:before="100" w:beforeAutospacing="1" w:after="100" w:afterAutospacing="1"/>
                      <w:jc w:val="right"/>
                      <w:rPr>
                        <w:noProof/>
                      </w:rPr>
                    </w:pPr>
                    <w:r>
                      <w:rPr>
                        <w:noProof/>
                        <w:color w:val="000000"/>
                        <w:sz w:val="16"/>
                        <w:szCs w:val="16"/>
                      </w:rPr>
                      <w:t>[142]</w:t>
                    </w:r>
                  </w:p>
                </w:tc>
              </w:tr>
              <w:tr w:rsidR="00307F9E" w14:paraId="16BE9D4D" w14:textId="77777777">
                <w:trPr>
                  <w:divId w:val="465852184"/>
                </w:trPr>
                <w:tc>
                  <w:tcPr>
                    <w:tcW w:w="0" w:type="auto"/>
                    <w:hideMark/>
                  </w:tcPr>
                  <w:p w14:paraId="4858B3DB" w14:textId="77777777" w:rsidR="00307F9E" w:rsidRDefault="00307F9E">
                    <w:pPr>
                      <w:pStyle w:val="Bibliography"/>
                      <w:rPr>
                        <w:noProof/>
                      </w:rPr>
                    </w:pPr>
                    <w:r>
                      <w:rPr>
                        <w:noProof/>
                      </w:rPr>
                      <w:t xml:space="preserve">State of Queensland (2011), </w:t>
                    </w:r>
                    <w:r>
                      <w:rPr>
                        <w:i/>
                        <w:iCs/>
                        <w:noProof/>
                      </w:rPr>
                      <w:t>Aboriginal and Torres Strait Islander languages in Education Queensland schools. A guide to implementing the Aboriginal and Torres Strait Islander languages syllabuses. Information for principals</w:t>
                    </w:r>
                    <w:r>
                      <w:rPr>
                        <w:noProof/>
                      </w:rPr>
                      <w:t xml:space="preserve">, Department of Education and Training, Brisbane, </w:t>
                    </w:r>
                    <w:r>
                      <w:rPr>
                        <w:noProof/>
                        <w:color w:val="0000FF"/>
                        <w:u w:val="single"/>
                      </w:rPr>
                      <w:t>https://www.qcaa.qld.edu.au/downloads/p_10/snr_atsi_languages_11_implement.pdf</w:t>
                    </w:r>
                    <w:r>
                      <w:rPr>
                        <w:noProof/>
                      </w:rPr>
                      <w:t xml:space="preserve"> (accessed on 4 October 2021).</w:t>
                    </w:r>
                  </w:p>
                </w:tc>
                <w:tc>
                  <w:tcPr>
                    <w:tcW w:w="600" w:type="dxa"/>
                    <w:noWrap/>
                    <w:hideMark/>
                  </w:tcPr>
                  <w:p w14:paraId="0DF8A42A" w14:textId="77777777" w:rsidR="00307F9E" w:rsidRDefault="00307F9E">
                    <w:pPr>
                      <w:spacing w:before="100" w:beforeAutospacing="1" w:after="100" w:afterAutospacing="1"/>
                      <w:jc w:val="right"/>
                      <w:rPr>
                        <w:noProof/>
                      </w:rPr>
                    </w:pPr>
                    <w:r>
                      <w:rPr>
                        <w:noProof/>
                        <w:color w:val="000000"/>
                        <w:sz w:val="16"/>
                        <w:szCs w:val="16"/>
                      </w:rPr>
                      <w:t>[203]</w:t>
                    </w:r>
                  </w:p>
                </w:tc>
              </w:tr>
              <w:tr w:rsidR="00307F9E" w14:paraId="3C8525DD" w14:textId="77777777">
                <w:trPr>
                  <w:divId w:val="465852184"/>
                </w:trPr>
                <w:tc>
                  <w:tcPr>
                    <w:tcW w:w="0" w:type="auto"/>
                    <w:hideMark/>
                  </w:tcPr>
                  <w:p w14:paraId="29A555BC" w14:textId="77777777" w:rsidR="00307F9E" w:rsidRDefault="00307F9E">
                    <w:pPr>
                      <w:pStyle w:val="Bibliography"/>
                      <w:rPr>
                        <w:noProof/>
                      </w:rPr>
                    </w:pPr>
                    <w:r>
                      <w:rPr>
                        <w:noProof/>
                      </w:rPr>
                      <w:t xml:space="preserve">Statistics Canada (2016), </w:t>
                    </w:r>
                    <w:r>
                      <w:rPr>
                        <w:i/>
                        <w:iCs/>
                        <w:noProof/>
                      </w:rPr>
                      <w:t>The Aboriginal languages of First Nations people, Meìtis and Inuit. Census of Population 2016</w:t>
                    </w:r>
                    <w:r>
                      <w:rPr>
                        <w:noProof/>
                      </w:rPr>
                      <w:t>.</w:t>
                    </w:r>
                  </w:p>
                </w:tc>
                <w:tc>
                  <w:tcPr>
                    <w:tcW w:w="600" w:type="dxa"/>
                    <w:noWrap/>
                    <w:hideMark/>
                  </w:tcPr>
                  <w:p w14:paraId="46D6E111" w14:textId="77777777" w:rsidR="00307F9E" w:rsidRDefault="00307F9E">
                    <w:pPr>
                      <w:spacing w:before="100" w:beforeAutospacing="1" w:after="100" w:afterAutospacing="1"/>
                      <w:jc w:val="right"/>
                      <w:rPr>
                        <w:noProof/>
                      </w:rPr>
                    </w:pPr>
                    <w:r>
                      <w:rPr>
                        <w:noProof/>
                        <w:color w:val="000000"/>
                        <w:sz w:val="16"/>
                        <w:szCs w:val="16"/>
                      </w:rPr>
                      <w:t>[17]</w:t>
                    </w:r>
                  </w:p>
                </w:tc>
              </w:tr>
              <w:tr w:rsidR="00307F9E" w14:paraId="11C1F263" w14:textId="77777777">
                <w:trPr>
                  <w:divId w:val="465852184"/>
                </w:trPr>
                <w:tc>
                  <w:tcPr>
                    <w:tcW w:w="0" w:type="auto"/>
                    <w:hideMark/>
                  </w:tcPr>
                  <w:p w14:paraId="5B0A5D36" w14:textId="77777777" w:rsidR="00307F9E" w:rsidRDefault="00307F9E">
                    <w:pPr>
                      <w:pStyle w:val="Bibliography"/>
                      <w:rPr>
                        <w:noProof/>
                      </w:rPr>
                    </w:pPr>
                    <w:r>
                      <w:rPr>
                        <w:noProof/>
                      </w:rPr>
                      <w:t xml:space="preserve">Stell, G. and K. Yakpo (eds.) (2015), </w:t>
                    </w:r>
                    <w:r>
                      <w:rPr>
                        <w:i/>
                        <w:iCs/>
                        <w:noProof/>
                      </w:rPr>
                      <w:t>A usage-based approach to code-switching: The need for reconciling structure and function</w:t>
                    </w:r>
                    <w:r>
                      <w:rPr>
                        <w:noProof/>
                      </w:rPr>
                      <w:t>, Mouton de Gruyter, Berlin.</w:t>
                    </w:r>
                  </w:p>
                </w:tc>
                <w:tc>
                  <w:tcPr>
                    <w:tcW w:w="600" w:type="dxa"/>
                    <w:noWrap/>
                    <w:hideMark/>
                  </w:tcPr>
                  <w:p w14:paraId="37A6B6DC" w14:textId="77777777" w:rsidR="00307F9E" w:rsidRDefault="00307F9E">
                    <w:pPr>
                      <w:spacing w:before="100" w:beforeAutospacing="1" w:after="100" w:afterAutospacing="1"/>
                      <w:jc w:val="right"/>
                      <w:rPr>
                        <w:noProof/>
                      </w:rPr>
                    </w:pPr>
                    <w:r>
                      <w:rPr>
                        <w:noProof/>
                        <w:color w:val="000000"/>
                        <w:sz w:val="16"/>
                        <w:szCs w:val="16"/>
                      </w:rPr>
                      <w:t>[163]</w:t>
                    </w:r>
                  </w:p>
                </w:tc>
              </w:tr>
              <w:tr w:rsidR="00307F9E" w14:paraId="676F3981" w14:textId="77777777">
                <w:trPr>
                  <w:divId w:val="465852184"/>
                </w:trPr>
                <w:tc>
                  <w:tcPr>
                    <w:tcW w:w="0" w:type="auto"/>
                    <w:hideMark/>
                  </w:tcPr>
                  <w:p w14:paraId="587C78FC" w14:textId="77777777" w:rsidR="00307F9E" w:rsidRDefault="00307F9E">
                    <w:pPr>
                      <w:pStyle w:val="Bibliography"/>
                      <w:rPr>
                        <w:noProof/>
                      </w:rPr>
                    </w:pPr>
                    <w:r>
                      <w:rPr>
                        <w:noProof/>
                      </w:rPr>
                      <w:t xml:space="preserve">Sterzuk, A. and R. Fayant (2016), “Towards reconciliation through language planning for Indigenous languages in Canadian universities”, </w:t>
                    </w:r>
                    <w:r>
                      <w:rPr>
                        <w:i/>
                        <w:iCs/>
                        <w:noProof/>
                      </w:rPr>
                      <w:t>Current Issues in Language Planning</w:t>
                    </w:r>
                    <w:r>
                      <w:rPr>
                        <w:noProof/>
                      </w:rPr>
                      <w:t>, Vol. 17, pp. 332-350.</w:t>
                    </w:r>
                  </w:p>
                </w:tc>
                <w:tc>
                  <w:tcPr>
                    <w:tcW w:w="600" w:type="dxa"/>
                    <w:noWrap/>
                    <w:hideMark/>
                  </w:tcPr>
                  <w:p w14:paraId="3A3A3E27" w14:textId="77777777" w:rsidR="00307F9E" w:rsidRDefault="00307F9E">
                    <w:pPr>
                      <w:spacing w:before="100" w:beforeAutospacing="1" w:after="100" w:afterAutospacing="1"/>
                      <w:jc w:val="right"/>
                      <w:rPr>
                        <w:noProof/>
                      </w:rPr>
                    </w:pPr>
                    <w:r>
                      <w:rPr>
                        <w:noProof/>
                        <w:color w:val="000000"/>
                        <w:sz w:val="16"/>
                        <w:szCs w:val="16"/>
                      </w:rPr>
                      <w:t>[25]</w:t>
                    </w:r>
                  </w:p>
                </w:tc>
              </w:tr>
              <w:tr w:rsidR="00307F9E" w14:paraId="42B727B2" w14:textId="77777777">
                <w:trPr>
                  <w:divId w:val="465852184"/>
                </w:trPr>
                <w:tc>
                  <w:tcPr>
                    <w:tcW w:w="0" w:type="auto"/>
                    <w:hideMark/>
                  </w:tcPr>
                  <w:p w14:paraId="30FDF3D0" w14:textId="77777777" w:rsidR="00307F9E" w:rsidRDefault="00307F9E">
                    <w:pPr>
                      <w:pStyle w:val="Bibliography"/>
                      <w:rPr>
                        <w:noProof/>
                      </w:rPr>
                    </w:pPr>
                    <w:r>
                      <w:rPr>
                        <w:noProof/>
                      </w:rPr>
                      <w:t xml:space="preserve">Sterzuk, A. and R. Fayant (2016), “Towards reconciliation through language planning for Indigenous languages in Canadian universities”, </w:t>
                    </w:r>
                    <w:r>
                      <w:rPr>
                        <w:i/>
                        <w:iCs/>
                        <w:noProof/>
                      </w:rPr>
                      <w:t>Current Issues in Language Planning</w:t>
                    </w:r>
                    <w:r>
                      <w:rPr>
                        <w:noProof/>
                      </w:rPr>
                      <w:t>, Vol. 17, pp. 332-350.</w:t>
                    </w:r>
                  </w:p>
                </w:tc>
                <w:tc>
                  <w:tcPr>
                    <w:tcW w:w="600" w:type="dxa"/>
                    <w:noWrap/>
                    <w:hideMark/>
                  </w:tcPr>
                  <w:p w14:paraId="197F4643" w14:textId="77777777" w:rsidR="00307F9E" w:rsidRDefault="00307F9E">
                    <w:pPr>
                      <w:spacing w:before="100" w:beforeAutospacing="1" w:after="100" w:afterAutospacing="1"/>
                      <w:jc w:val="right"/>
                      <w:rPr>
                        <w:noProof/>
                      </w:rPr>
                    </w:pPr>
                    <w:r>
                      <w:rPr>
                        <w:noProof/>
                        <w:color w:val="000000"/>
                        <w:sz w:val="16"/>
                        <w:szCs w:val="16"/>
                      </w:rPr>
                      <w:t>[40]</w:t>
                    </w:r>
                  </w:p>
                </w:tc>
              </w:tr>
              <w:tr w:rsidR="00307F9E" w14:paraId="71DA2387" w14:textId="77777777">
                <w:trPr>
                  <w:divId w:val="465852184"/>
                </w:trPr>
                <w:tc>
                  <w:tcPr>
                    <w:tcW w:w="0" w:type="auto"/>
                    <w:hideMark/>
                  </w:tcPr>
                  <w:p w14:paraId="077AA9B7" w14:textId="77777777" w:rsidR="00307F9E" w:rsidRDefault="00307F9E">
                    <w:pPr>
                      <w:pStyle w:val="Bibliography"/>
                      <w:rPr>
                        <w:noProof/>
                      </w:rPr>
                    </w:pPr>
                    <w:r>
                      <w:rPr>
                        <w:noProof/>
                      </w:rPr>
                      <w:t xml:space="preserve">Tagai State College (2020), </w:t>
                    </w:r>
                    <w:r>
                      <w:rPr>
                        <w:i/>
                        <w:iCs/>
                        <w:noProof/>
                      </w:rPr>
                      <w:t>Navigating YUMI to a successful future: Principal’s message</w:t>
                    </w:r>
                    <w:r>
                      <w:rPr>
                        <w:noProof/>
                      </w:rPr>
                      <w:t xml:space="preserve">, </w:t>
                    </w:r>
                    <w:r>
                      <w:rPr>
                        <w:noProof/>
                        <w:color w:val="0000FF"/>
                        <w:u w:val="single"/>
                      </w:rPr>
                      <w:t>https://tagaisc.eq.edu.au/Ourschool/Principalswelcome/Pages/Principalswelcome.aspx</w:t>
                    </w:r>
                    <w:r>
                      <w:rPr>
                        <w:noProof/>
                      </w:rPr>
                      <w:t xml:space="preserve"> (accessed on 4 October 2021).</w:t>
                    </w:r>
                  </w:p>
                </w:tc>
                <w:tc>
                  <w:tcPr>
                    <w:tcW w:w="600" w:type="dxa"/>
                    <w:noWrap/>
                    <w:hideMark/>
                  </w:tcPr>
                  <w:p w14:paraId="07CD80FD" w14:textId="77777777" w:rsidR="00307F9E" w:rsidRDefault="00307F9E">
                    <w:pPr>
                      <w:spacing w:before="100" w:beforeAutospacing="1" w:after="100" w:afterAutospacing="1"/>
                      <w:jc w:val="right"/>
                      <w:rPr>
                        <w:noProof/>
                      </w:rPr>
                    </w:pPr>
                    <w:r>
                      <w:rPr>
                        <w:noProof/>
                        <w:color w:val="000000"/>
                        <w:sz w:val="16"/>
                        <w:szCs w:val="16"/>
                      </w:rPr>
                      <w:t>[193]</w:t>
                    </w:r>
                  </w:p>
                </w:tc>
              </w:tr>
              <w:tr w:rsidR="00307F9E" w14:paraId="616FD729" w14:textId="77777777">
                <w:trPr>
                  <w:divId w:val="465852184"/>
                </w:trPr>
                <w:tc>
                  <w:tcPr>
                    <w:tcW w:w="0" w:type="auto"/>
                    <w:hideMark/>
                  </w:tcPr>
                  <w:p w14:paraId="5891E608" w14:textId="77777777" w:rsidR="00307F9E" w:rsidRDefault="00307F9E">
                    <w:pPr>
                      <w:pStyle w:val="Bibliography"/>
                      <w:rPr>
                        <w:noProof/>
                      </w:rPr>
                    </w:pPr>
                    <w:r>
                      <w:rPr>
                        <w:noProof/>
                      </w:rPr>
                      <w:t xml:space="preserve">Tatti, F. (2015), </w:t>
                    </w:r>
                    <w:r>
                      <w:rPr>
                        <w:i/>
                        <w:iCs/>
                        <w:noProof/>
                      </w:rPr>
                      <w:t>The wind waits for no one: Nı̨ hts’ı Dene Ası̨ ́ Henáoréhɂı̨ ́le Ǫt’e: Spirituality in a Sahtúgot’ı̨ nę perspective (MA Thesis)</w:t>
                    </w:r>
                    <w:r>
                      <w:rPr>
                        <w:noProof/>
                      </w:rPr>
                      <w:t xml:space="preserve">, Indigenous Education with the Department of </w:t>
                    </w:r>
                    <w:r>
                      <w:rPr>
                        <w:noProof/>
                      </w:rPr>
                      <w:lastRenderedPageBreak/>
                      <w:t>Linguistics, University of Victoria, Victoria BC.</w:t>
                    </w:r>
                  </w:p>
                </w:tc>
                <w:tc>
                  <w:tcPr>
                    <w:tcW w:w="600" w:type="dxa"/>
                    <w:noWrap/>
                    <w:hideMark/>
                  </w:tcPr>
                  <w:p w14:paraId="7032A1A3" w14:textId="77777777" w:rsidR="00307F9E" w:rsidRDefault="00307F9E">
                    <w:pPr>
                      <w:spacing w:before="100" w:beforeAutospacing="1" w:after="100" w:afterAutospacing="1"/>
                      <w:jc w:val="right"/>
                      <w:rPr>
                        <w:noProof/>
                      </w:rPr>
                    </w:pPr>
                    <w:r>
                      <w:rPr>
                        <w:noProof/>
                        <w:color w:val="000000"/>
                        <w:sz w:val="16"/>
                        <w:szCs w:val="16"/>
                      </w:rPr>
                      <w:lastRenderedPageBreak/>
                      <w:t>[32]</w:t>
                    </w:r>
                  </w:p>
                </w:tc>
              </w:tr>
              <w:tr w:rsidR="00307F9E" w14:paraId="73A1B75C" w14:textId="77777777">
                <w:trPr>
                  <w:divId w:val="465852184"/>
                </w:trPr>
                <w:tc>
                  <w:tcPr>
                    <w:tcW w:w="0" w:type="auto"/>
                    <w:hideMark/>
                  </w:tcPr>
                  <w:p w14:paraId="1A9E1DEF" w14:textId="77777777" w:rsidR="00307F9E" w:rsidRDefault="00307F9E">
                    <w:pPr>
                      <w:pStyle w:val="Bibliography"/>
                      <w:rPr>
                        <w:noProof/>
                      </w:rPr>
                    </w:pPr>
                    <w:r>
                      <w:rPr>
                        <w:noProof/>
                      </w:rPr>
                      <w:t xml:space="preserve">Taylor, D., J. Caouette and S. Wright (2008), “Aboriginal Languages in Quebec: Fighting Linguicide with Bilingual Education”, </w:t>
                    </w:r>
                    <w:r>
                      <w:rPr>
                        <w:i/>
                        <w:iCs/>
                        <w:noProof/>
                      </w:rPr>
                      <w:t>Diversité urbaine</w:t>
                    </w:r>
                    <w:r>
                      <w:rPr>
                        <w:noProof/>
                      </w:rPr>
                      <w:t xml:space="preserve">, pp. 69-89, </w:t>
                    </w:r>
                    <w:r>
                      <w:rPr>
                        <w:noProof/>
                        <w:color w:val="0000FF"/>
                        <w:u w:val="single"/>
                      </w:rPr>
                      <w:t>https://doi.org/10.7202/019562ar</w:t>
                    </w:r>
                    <w:r>
                      <w:rPr>
                        <w:noProof/>
                      </w:rPr>
                      <w:t>.</w:t>
                    </w:r>
                  </w:p>
                </w:tc>
                <w:tc>
                  <w:tcPr>
                    <w:tcW w:w="600" w:type="dxa"/>
                    <w:noWrap/>
                    <w:hideMark/>
                  </w:tcPr>
                  <w:p w14:paraId="3EEF0BBA" w14:textId="77777777" w:rsidR="00307F9E" w:rsidRDefault="00307F9E">
                    <w:pPr>
                      <w:spacing w:before="100" w:beforeAutospacing="1" w:after="100" w:afterAutospacing="1"/>
                      <w:jc w:val="right"/>
                      <w:rPr>
                        <w:noProof/>
                      </w:rPr>
                    </w:pPr>
                    <w:r>
                      <w:rPr>
                        <w:noProof/>
                        <w:color w:val="000000"/>
                        <w:sz w:val="16"/>
                        <w:szCs w:val="16"/>
                      </w:rPr>
                      <w:t>[107]</w:t>
                    </w:r>
                  </w:p>
                </w:tc>
              </w:tr>
              <w:tr w:rsidR="00307F9E" w14:paraId="2CC67AD0" w14:textId="77777777">
                <w:trPr>
                  <w:divId w:val="465852184"/>
                </w:trPr>
                <w:tc>
                  <w:tcPr>
                    <w:tcW w:w="0" w:type="auto"/>
                    <w:hideMark/>
                  </w:tcPr>
                  <w:p w14:paraId="1E0427A1" w14:textId="77777777" w:rsidR="00307F9E" w:rsidRDefault="00307F9E">
                    <w:pPr>
                      <w:pStyle w:val="Bibliography"/>
                      <w:rPr>
                        <w:noProof/>
                      </w:rPr>
                    </w:pPr>
                    <w:r>
                      <w:rPr>
                        <w:noProof/>
                      </w:rPr>
                      <w:t xml:space="preserve">Te Mātāwai (2017), </w:t>
                    </w:r>
                    <w:r>
                      <w:rPr>
                        <w:i/>
                        <w:iCs/>
                        <w:noProof/>
                      </w:rPr>
                      <w:t>Maihi Māori 2017-2040 Strategy</w:t>
                    </w:r>
                    <w:r>
                      <w:rPr>
                        <w:noProof/>
                      </w:rPr>
                      <w:t xml:space="preserve">, </w:t>
                    </w:r>
                    <w:r>
                      <w:rPr>
                        <w:noProof/>
                        <w:color w:val="0000FF"/>
                        <w:u w:val="single"/>
                      </w:rPr>
                      <w:t>https://www.tematawai.maori.nz/assets/Corporate-Documents/Maihi-Maori-A4-Printable-English.pdf</w:t>
                    </w:r>
                    <w:r>
                      <w:rPr>
                        <w:noProof/>
                      </w:rPr>
                      <w:t xml:space="preserve"> (accessed on 4 October 2021).</w:t>
                    </w:r>
                  </w:p>
                </w:tc>
                <w:tc>
                  <w:tcPr>
                    <w:tcW w:w="600" w:type="dxa"/>
                    <w:noWrap/>
                    <w:hideMark/>
                  </w:tcPr>
                  <w:p w14:paraId="207111D9" w14:textId="77777777" w:rsidR="00307F9E" w:rsidRDefault="00307F9E">
                    <w:pPr>
                      <w:spacing w:before="100" w:beforeAutospacing="1" w:after="100" w:afterAutospacing="1"/>
                      <w:jc w:val="right"/>
                      <w:rPr>
                        <w:noProof/>
                      </w:rPr>
                    </w:pPr>
                    <w:r>
                      <w:rPr>
                        <w:noProof/>
                        <w:color w:val="000000"/>
                        <w:sz w:val="16"/>
                        <w:szCs w:val="16"/>
                      </w:rPr>
                      <w:t>[67]</w:t>
                    </w:r>
                  </w:p>
                </w:tc>
              </w:tr>
              <w:tr w:rsidR="00307F9E" w14:paraId="1BDDD857" w14:textId="77777777">
                <w:trPr>
                  <w:divId w:val="465852184"/>
                </w:trPr>
                <w:tc>
                  <w:tcPr>
                    <w:tcW w:w="0" w:type="auto"/>
                    <w:hideMark/>
                  </w:tcPr>
                  <w:p w14:paraId="55625441" w14:textId="77777777" w:rsidR="00307F9E" w:rsidRDefault="00307F9E">
                    <w:pPr>
                      <w:pStyle w:val="Bibliography"/>
                      <w:rPr>
                        <w:noProof/>
                      </w:rPr>
                    </w:pPr>
                    <w:r>
                      <w:rPr>
                        <w:noProof/>
                      </w:rPr>
                      <w:t xml:space="preserve">Te Puni Kōkiri (2019), </w:t>
                    </w:r>
                    <w:r>
                      <w:rPr>
                        <w:i/>
                        <w:iCs/>
                        <w:noProof/>
                      </w:rPr>
                      <w:t>A monitoring and evaluation framework for the Maihi Karauna: The Crown’s strategy for Māori Language Revitalisation, 2018-2023</w:t>
                    </w:r>
                    <w:r>
                      <w:rPr>
                        <w:noProof/>
                      </w:rPr>
                      <w:t xml:space="preserve">, </w:t>
                    </w:r>
                    <w:r>
                      <w:rPr>
                        <w:noProof/>
                        <w:color w:val="0000FF"/>
                        <w:u w:val="single"/>
                      </w:rPr>
                      <w:t>https://www.tpk.govt.nz/docs/tpk-maihi-karauna-monitoring-evaluation-framework.pdf</w:t>
                    </w:r>
                    <w:r>
                      <w:rPr>
                        <w:noProof/>
                      </w:rPr>
                      <w:t xml:space="preserve"> (accessed on 4 October 2021).</w:t>
                    </w:r>
                  </w:p>
                </w:tc>
                <w:tc>
                  <w:tcPr>
                    <w:tcW w:w="600" w:type="dxa"/>
                    <w:noWrap/>
                    <w:hideMark/>
                  </w:tcPr>
                  <w:p w14:paraId="38472186" w14:textId="77777777" w:rsidR="00307F9E" w:rsidRDefault="00307F9E">
                    <w:pPr>
                      <w:spacing w:before="100" w:beforeAutospacing="1" w:after="100" w:afterAutospacing="1"/>
                      <w:jc w:val="right"/>
                      <w:rPr>
                        <w:noProof/>
                      </w:rPr>
                    </w:pPr>
                    <w:r>
                      <w:rPr>
                        <w:noProof/>
                        <w:color w:val="000000"/>
                        <w:sz w:val="16"/>
                        <w:szCs w:val="16"/>
                      </w:rPr>
                      <w:t>[69]</w:t>
                    </w:r>
                  </w:p>
                </w:tc>
              </w:tr>
              <w:tr w:rsidR="00307F9E" w14:paraId="4FD1894A" w14:textId="77777777">
                <w:trPr>
                  <w:divId w:val="465852184"/>
                </w:trPr>
                <w:tc>
                  <w:tcPr>
                    <w:tcW w:w="0" w:type="auto"/>
                    <w:hideMark/>
                  </w:tcPr>
                  <w:p w14:paraId="28C14019" w14:textId="77777777" w:rsidR="00307F9E" w:rsidRDefault="00307F9E">
                    <w:pPr>
                      <w:pStyle w:val="Bibliography"/>
                      <w:rPr>
                        <w:noProof/>
                      </w:rPr>
                    </w:pPr>
                    <w:r>
                      <w:rPr>
                        <w:noProof/>
                      </w:rPr>
                      <w:t xml:space="preserve">Te Puni Kōkiri (2019), </w:t>
                    </w:r>
                    <w:r>
                      <w:rPr>
                        <w:i/>
                        <w:iCs/>
                        <w:noProof/>
                      </w:rPr>
                      <w:t>Measuring the current state of te reo Māori</w:t>
                    </w:r>
                    <w:r>
                      <w:rPr>
                        <w:noProof/>
                      </w:rPr>
                      <w:t xml:space="preserve">, </w:t>
                    </w:r>
                    <w:r>
                      <w:rPr>
                        <w:noProof/>
                        <w:color w:val="0000FF"/>
                        <w:u w:val="single"/>
                      </w:rPr>
                      <w:t>https://www.tpk.govt.nz/docs/tpk-maihi-karauna-measuring-the-current-state.pdf</w:t>
                    </w:r>
                    <w:r>
                      <w:rPr>
                        <w:noProof/>
                      </w:rPr>
                      <w:t xml:space="preserve"> (accessed on 4 October 2021).</w:t>
                    </w:r>
                  </w:p>
                </w:tc>
                <w:tc>
                  <w:tcPr>
                    <w:tcW w:w="600" w:type="dxa"/>
                    <w:noWrap/>
                    <w:hideMark/>
                  </w:tcPr>
                  <w:p w14:paraId="18C4C54B" w14:textId="77777777" w:rsidR="00307F9E" w:rsidRDefault="00307F9E">
                    <w:pPr>
                      <w:spacing w:before="100" w:beforeAutospacing="1" w:after="100" w:afterAutospacing="1"/>
                      <w:jc w:val="right"/>
                      <w:rPr>
                        <w:noProof/>
                      </w:rPr>
                    </w:pPr>
                    <w:r>
                      <w:rPr>
                        <w:noProof/>
                        <w:color w:val="000000"/>
                        <w:sz w:val="16"/>
                        <w:szCs w:val="16"/>
                      </w:rPr>
                      <w:t>[70]</w:t>
                    </w:r>
                  </w:p>
                </w:tc>
              </w:tr>
              <w:tr w:rsidR="00307F9E" w14:paraId="7733F0B1" w14:textId="77777777">
                <w:trPr>
                  <w:divId w:val="465852184"/>
                </w:trPr>
                <w:tc>
                  <w:tcPr>
                    <w:tcW w:w="0" w:type="auto"/>
                    <w:hideMark/>
                  </w:tcPr>
                  <w:p w14:paraId="348CBAD1" w14:textId="77777777" w:rsidR="00307F9E" w:rsidRDefault="00307F9E">
                    <w:pPr>
                      <w:pStyle w:val="Bibliography"/>
                      <w:rPr>
                        <w:noProof/>
                      </w:rPr>
                    </w:pPr>
                    <w:r>
                      <w:rPr>
                        <w:noProof/>
                      </w:rPr>
                      <w:t xml:space="preserve">Te Puni Kōkiri [Ministry of Māori Development] (2019), </w:t>
                    </w:r>
                    <w:r>
                      <w:rPr>
                        <w:i/>
                        <w:iCs/>
                        <w:noProof/>
                      </w:rPr>
                      <w:t>Maihi Karauna: The Crown’s Strategy for Māori Language Revitalisation 2019–2023 (English version)</w:t>
                    </w:r>
                    <w:r>
                      <w:rPr>
                        <w:noProof/>
                      </w:rPr>
                      <w:t xml:space="preserve">, </w:t>
                    </w:r>
                    <w:r>
                      <w:rPr>
                        <w:noProof/>
                        <w:color w:val="0000FF"/>
                        <w:u w:val="single"/>
                      </w:rPr>
                      <w:t>http://www.tpk.govt.nz/documents/download/documents-5540/tpk-maihi-karauna-strategy-en-2019.pdf</w:t>
                    </w:r>
                    <w:r>
                      <w:rPr>
                        <w:noProof/>
                      </w:rPr>
                      <w:t xml:space="preserve"> (accessed on 4 October 2021).</w:t>
                    </w:r>
                  </w:p>
                </w:tc>
                <w:tc>
                  <w:tcPr>
                    <w:tcW w:w="600" w:type="dxa"/>
                    <w:noWrap/>
                    <w:hideMark/>
                  </w:tcPr>
                  <w:p w14:paraId="15E7C316" w14:textId="77777777" w:rsidR="00307F9E" w:rsidRDefault="00307F9E">
                    <w:pPr>
                      <w:spacing w:before="100" w:beforeAutospacing="1" w:after="100" w:afterAutospacing="1"/>
                      <w:jc w:val="right"/>
                      <w:rPr>
                        <w:noProof/>
                      </w:rPr>
                    </w:pPr>
                    <w:r>
                      <w:rPr>
                        <w:noProof/>
                        <w:color w:val="000000"/>
                        <w:sz w:val="16"/>
                        <w:szCs w:val="16"/>
                      </w:rPr>
                      <w:t>[68]</w:t>
                    </w:r>
                  </w:p>
                </w:tc>
              </w:tr>
              <w:tr w:rsidR="00307F9E" w14:paraId="10FBD2EA" w14:textId="77777777">
                <w:trPr>
                  <w:divId w:val="465852184"/>
                </w:trPr>
                <w:tc>
                  <w:tcPr>
                    <w:tcW w:w="0" w:type="auto"/>
                    <w:hideMark/>
                  </w:tcPr>
                  <w:p w14:paraId="1EA59E01" w14:textId="77777777" w:rsidR="00307F9E" w:rsidRDefault="00307F9E">
                    <w:pPr>
                      <w:pStyle w:val="Bibliography"/>
                      <w:rPr>
                        <w:noProof/>
                      </w:rPr>
                    </w:pPr>
                    <w:r>
                      <w:rPr>
                        <w:noProof/>
                      </w:rPr>
                      <w:t xml:space="preserve">The United Nations Permanent Forum on Indigenous Issues (2018), </w:t>
                    </w:r>
                    <w:r>
                      <w:rPr>
                        <w:i/>
                        <w:iCs/>
                        <w:noProof/>
                      </w:rPr>
                      <w:t>Indigenous languages (Backgrounder)</w:t>
                    </w:r>
                    <w:r>
                      <w:rPr>
                        <w:noProof/>
                      </w:rPr>
                      <w:t xml:space="preserve">, UN Department of Public Information, </w:t>
                    </w:r>
                    <w:r>
                      <w:rPr>
                        <w:noProof/>
                        <w:color w:val="0000FF"/>
                        <w:u w:val="single"/>
                      </w:rPr>
                      <w:t>https://www.un.org/development/desa/indigenouspeoples/wp-content/uploads/sites/19/2018/04/Indigenous-Languages.pdf</w:t>
                    </w:r>
                    <w:r>
                      <w:rPr>
                        <w:noProof/>
                      </w:rPr>
                      <w:t xml:space="preserve"> (accessed on 24 September 2021).</w:t>
                    </w:r>
                  </w:p>
                </w:tc>
                <w:tc>
                  <w:tcPr>
                    <w:tcW w:w="600" w:type="dxa"/>
                    <w:noWrap/>
                    <w:hideMark/>
                  </w:tcPr>
                  <w:p w14:paraId="52AB4ED3" w14:textId="77777777" w:rsidR="00307F9E" w:rsidRDefault="00307F9E">
                    <w:pPr>
                      <w:spacing w:before="100" w:beforeAutospacing="1" w:after="100" w:afterAutospacing="1"/>
                      <w:jc w:val="right"/>
                      <w:rPr>
                        <w:noProof/>
                      </w:rPr>
                    </w:pPr>
                    <w:r>
                      <w:rPr>
                        <w:noProof/>
                        <w:color w:val="000000"/>
                        <w:sz w:val="16"/>
                        <w:szCs w:val="16"/>
                      </w:rPr>
                      <w:t>[1]</w:t>
                    </w:r>
                  </w:p>
                </w:tc>
              </w:tr>
              <w:tr w:rsidR="00307F9E" w14:paraId="40DB3006" w14:textId="77777777">
                <w:trPr>
                  <w:divId w:val="465852184"/>
                </w:trPr>
                <w:tc>
                  <w:tcPr>
                    <w:tcW w:w="0" w:type="auto"/>
                    <w:hideMark/>
                  </w:tcPr>
                  <w:p w14:paraId="27D721D1" w14:textId="77777777" w:rsidR="00307F9E" w:rsidRDefault="00307F9E">
                    <w:pPr>
                      <w:pStyle w:val="Bibliography"/>
                      <w:rPr>
                        <w:noProof/>
                      </w:rPr>
                    </w:pPr>
                    <w:r>
                      <w:rPr>
                        <w:noProof/>
                      </w:rPr>
                      <w:t xml:space="preserve">Tulloch, S. (2016), “Inuit principals and the changing context of bilingual education in Nunavut”, </w:t>
                    </w:r>
                    <w:r>
                      <w:rPr>
                        <w:i/>
                        <w:iCs/>
                        <w:noProof/>
                      </w:rPr>
                      <w:t>Etudes inuit. Inuit studies</w:t>
                    </w:r>
                    <w:r>
                      <w:rPr>
                        <w:noProof/>
                      </w:rPr>
                      <w:t>, Vol. 40/1, pp. 189-209.</w:t>
                    </w:r>
                  </w:p>
                </w:tc>
                <w:tc>
                  <w:tcPr>
                    <w:tcW w:w="600" w:type="dxa"/>
                    <w:noWrap/>
                    <w:hideMark/>
                  </w:tcPr>
                  <w:p w14:paraId="03391B5B" w14:textId="77777777" w:rsidR="00307F9E" w:rsidRDefault="00307F9E">
                    <w:pPr>
                      <w:spacing w:before="100" w:beforeAutospacing="1" w:after="100" w:afterAutospacing="1"/>
                      <w:jc w:val="right"/>
                      <w:rPr>
                        <w:noProof/>
                      </w:rPr>
                    </w:pPr>
                    <w:r>
                      <w:rPr>
                        <w:noProof/>
                        <w:color w:val="000000"/>
                        <w:sz w:val="16"/>
                        <w:szCs w:val="16"/>
                      </w:rPr>
                      <w:t>[54]</w:t>
                    </w:r>
                  </w:p>
                </w:tc>
              </w:tr>
              <w:tr w:rsidR="00307F9E" w14:paraId="7CE153F5" w14:textId="77777777">
                <w:trPr>
                  <w:divId w:val="465852184"/>
                </w:trPr>
                <w:tc>
                  <w:tcPr>
                    <w:tcW w:w="0" w:type="auto"/>
                    <w:hideMark/>
                  </w:tcPr>
                  <w:p w14:paraId="33CE3857" w14:textId="77777777" w:rsidR="00307F9E" w:rsidRDefault="00307F9E">
                    <w:pPr>
                      <w:pStyle w:val="Bibliography"/>
                      <w:rPr>
                        <w:noProof/>
                      </w:rPr>
                    </w:pPr>
                    <w:r>
                      <w:rPr>
                        <w:noProof/>
                      </w:rPr>
                      <w:t xml:space="preserve">UN General Assembly (2007), </w:t>
                    </w:r>
                    <w:r>
                      <w:rPr>
                        <w:i/>
                        <w:iCs/>
                        <w:noProof/>
                      </w:rPr>
                      <w:t>United Nations Declaration on the Rights of Indigenous Peoples</w:t>
                    </w:r>
                    <w:r>
                      <w:rPr>
                        <w:noProof/>
                      </w:rPr>
                      <w:t xml:space="preserve">, United Nations, New York, </w:t>
                    </w:r>
                    <w:r>
                      <w:rPr>
                        <w:noProof/>
                        <w:color w:val="0000FF"/>
                        <w:u w:val="single"/>
                      </w:rPr>
                      <w:t>https://www.un.org/development/desa/indigenouspeoples/wp-content/uploads/sites/19/2018/11/UNDRIP_E_web.pdf</w:t>
                    </w:r>
                    <w:r>
                      <w:rPr>
                        <w:noProof/>
                      </w:rPr>
                      <w:t xml:space="preserve"> (accessed on 4 October 2021).</w:t>
                    </w:r>
                  </w:p>
                </w:tc>
                <w:tc>
                  <w:tcPr>
                    <w:tcW w:w="600" w:type="dxa"/>
                    <w:noWrap/>
                    <w:hideMark/>
                  </w:tcPr>
                  <w:p w14:paraId="09542A24" w14:textId="77777777" w:rsidR="00307F9E" w:rsidRDefault="00307F9E">
                    <w:pPr>
                      <w:spacing w:before="100" w:beforeAutospacing="1" w:after="100" w:afterAutospacing="1"/>
                      <w:jc w:val="right"/>
                      <w:rPr>
                        <w:noProof/>
                      </w:rPr>
                    </w:pPr>
                    <w:r>
                      <w:rPr>
                        <w:noProof/>
                        <w:color w:val="000000"/>
                        <w:sz w:val="16"/>
                        <w:szCs w:val="16"/>
                      </w:rPr>
                      <w:t>[62]</w:t>
                    </w:r>
                  </w:p>
                </w:tc>
              </w:tr>
              <w:tr w:rsidR="00307F9E" w14:paraId="7E271E58" w14:textId="77777777">
                <w:trPr>
                  <w:divId w:val="465852184"/>
                </w:trPr>
                <w:tc>
                  <w:tcPr>
                    <w:tcW w:w="0" w:type="auto"/>
                    <w:hideMark/>
                  </w:tcPr>
                  <w:p w14:paraId="6B5ED6A3" w14:textId="77777777" w:rsidR="00307F9E" w:rsidRDefault="00307F9E">
                    <w:pPr>
                      <w:pStyle w:val="Bibliography"/>
                      <w:rPr>
                        <w:noProof/>
                      </w:rPr>
                    </w:pPr>
                    <w:r>
                      <w:rPr>
                        <w:noProof/>
                      </w:rPr>
                      <w:t xml:space="preserve">UN General Assembly (1992), </w:t>
                    </w:r>
                    <w:r>
                      <w:rPr>
                        <w:i/>
                        <w:iCs/>
                        <w:noProof/>
                      </w:rPr>
                      <w:t>Declaration on the rights of persons belonging to national or ethnic, religious and linguistic minorities</w:t>
                    </w:r>
                    <w:r>
                      <w:rPr>
                        <w:noProof/>
                      </w:rPr>
                      <w:t xml:space="preserve">, </w:t>
                    </w:r>
                    <w:r>
                      <w:rPr>
                        <w:noProof/>
                        <w:color w:val="0000FF"/>
                        <w:u w:val="single"/>
                      </w:rPr>
                      <w:t>https://www.ohchr.org/Documents/Publications/GuideMinoritiesDeclarationen.pdf</w:t>
                    </w:r>
                    <w:r>
                      <w:rPr>
                        <w:noProof/>
                      </w:rPr>
                      <w:t xml:space="preserve"> (accessed on 4 October 2021).</w:t>
                    </w:r>
                  </w:p>
                </w:tc>
                <w:tc>
                  <w:tcPr>
                    <w:tcW w:w="600" w:type="dxa"/>
                    <w:noWrap/>
                    <w:hideMark/>
                  </w:tcPr>
                  <w:p w14:paraId="305D1624" w14:textId="77777777" w:rsidR="00307F9E" w:rsidRDefault="00307F9E">
                    <w:pPr>
                      <w:spacing w:before="100" w:beforeAutospacing="1" w:after="100" w:afterAutospacing="1"/>
                      <w:jc w:val="right"/>
                      <w:rPr>
                        <w:noProof/>
                      </w:rPr>
                    </w:pPr>
                    <w:r>
                      <w:rPr>
                        <w:noProof/>
                        <w:color w:val="000000"/>
                        <w:sz w:val="16"/>
                        <w:szCs w:val="16"/>
                      </w:rPr>
                      <w:t>[63]</w:t>
                    </w:r>
                  </w:p>
                </w:tc>
              </w:tr>
              <w:tr w:rsidR="00307F9E" w14:paraId="6C9FF133" w14:textId="77777777">
                <w:trPr>
                  <w:divId w:val="465852184"/>
                </w:trPr>
                <w:tc>
                  <w:tcPr>
                    <w:tcW w:w="0" w:type="auto"/>
                    <w:hideMark/>
                  </w:tcPr>
                  <w:p w14:paraId="3DC409CF" w14:textId="77777777" w:rsidR="00307F9E" w:rsidRDefault="00307F9E">
                    <w:pPr>
                      <w:pStyle w:val="Bibliography"/>
                      <w:rPr>
                        <w:noProof/>
                      </w:rPr>
                    </w:pPr>
                    <w:r>
                      <w:rPr>
                        <w:noProof/>
                      </w:rPr>
                      <w:t xml:space="preserve">UNESCO (2021), </w:t>
                    </w:r>
                    <w:r>
                      <w:rPr>
                        <w:i/>
                        <w:iCs/>
                        <w:noProof/>
                      </w:rPr>
                      <w:t>Evaluation of UNESCO’s Action to Revitalize and Promote Indigenous Languages: Within the framework of the International Year of Indigenous Languages</w:t>
                    </w:r>
                    <w:r>
                      <w:rPr>
                        <w:noProof/>
                      </w:rPr>
                      <w:t xml:space="preserve">, UNESCO, Paris, </w:t>
                    </w:r>
                    <w:r>
                      <w:rPr>
                        <w:noProof/>
                        <w:color w:val="0000FF"/>
                        <w:u w:val="single"/>
                      </w:rPr>
                      <w:t>https://en.unesco.org/system/files/private_documents/376719eng.pdf</w:t>
                    </w:r>
                    <w:r>
                      <w:rPr>
                        <w:noProof/>
                      </w:rPr>
                      <w:t xml:space="preserve"> (accessed on 4 October 2021).</w:t>
                    </w:r>
                  </w:p>
                </w:tc>
                <w:tc>
                  <w:tcPr>
                    <w:tcW w:w="600" w:type="dxa"/>
                    <w:noWrap/>
                    <w:hideMark/>
                  </w:tcPr>
                  <w:p w14:paraId="24B91D26" w14:textId="77777777" w:rsidR="00307F9E" w:rsidRDefault="00307F9E">
                    <w:pPr>
                      <w:spacing w:before="100" w:beforeAutospacing="1" w:after="100" w:afterAutospacing="1"/>
                      <w:jc w:val="right"/>
                      <w:rPr>
                        <w:noProof/>
                      </w:rPr>
                    </w:pPr>
                    <w:r>
                      <w:rPr>
                        <w:noProof/>
                        <w:color w:val="000000"/>
                        <w:sz w:val="16"/>
                        <w:szCs w:val="16"/>
                      </w:rPr>
                      <w:t>[65]</w:t>
                    </w:r>
                  </w:p>
                </w:tc>
              </w:tr>
              <w:tr w:rsidR="00307F9E" w14:paraId="2D703AC9" w14:textId="77777777">
                <w:trPr>
                  <w:divId w:val="465852184"/>
                </w:trPr>
                <w:tc>
                  <w:tcPr>
                    <w:tcW w:w="0" w:type="auto"/>
                    <w:hideMark/>
                  </w:tcPr>
                  <w:p w14:paraId="4EF52CC9" w14:textId="77777777" w:rsidR="00307F9E" w:rsidRDefault="00307F9E">
                    <w:pPr>
                      <w:pStyle w:val="Bibliography"/>
                      <w:rPr>
                        <w:noProof/>
                      </w:rPr>
                    </w:pPr>
                    <w:r>
                      <w:rPr>
                        <w:noProof/>
                      </w:rPr>
                      <w:t xml:space="preserve">UNESCO (2003), </w:t>
                    </w:r>
                    <w:r>
                      <w:rPr>
                        <w:i/>
                        <w:iCs/>
                        <w:noProof/>
                      </w:rPr>
                      <w:t>Language Vitality and Endangerment</w:t>
                    </w:r>
                    <w:r>
                      <w:rPr>
                        <w:noProof/>
                      </w:rPr>
                      <w:t xml:space="preserve">, UNESCO Ad Hoc Expert Group on Endangered Languages, Paris, </w:t>
                    </w:r>
                    <w:r>
                      <w:rPr>
                        <w:noProof/>
                        <w:color w:val="0000FF"/>
                        <w:u w:val="single"/>
                      </w:rPr>
                      <w:t>http://www.unesco.org/new/fileadmin/MULTIMEDIA/HQ/CLT/pdf/Language_vitality_and_endangerment_EN.pdf</w:t>
                    </w:r>
                    <w:r>
                      <w:rPr>
                        <w:noProof/>
                      </w:rPr>
                      <w:t xml:space="preserve"> (accessed on 24 September 2021).</w:t>
                    </w:r>
                  </w:p>
                </w:tc>
                <w:tc>
                  <w:tcPr>
                    <w:tcW w:w="600" w:type="dxa"/>
                    <w:noWrap/>
                    <w:hideMark/>
                  </w:tcPr>
                  <w:p w14:paraId="2EC3ED38" w14:textId="77777777" w:rsidR="00307F9E" w:rsidRDefault="00307F9E">
                    <w:pPr>
                      <w:spacing w:before="100" w:beforeAutospacing="1" w:after="100" w:afterAutospacing="1"/>
                      <w:jc w:val="right"/>
                      <w:rPr>
                        <w:noProof/>
                      </w:rPr>
                    </w:pPr>
                    <w:r>
                      <w:rPr>
                        <w:noProof/>
                        <w:color w:val="000000"/>
                        <w:sz w:val="16"/>
                        <w:szCs w:val="16"/>
                      </w:rPr>
                      <w:t>[2]</w:t>
                    </w:r>
                  </w:p>
                </w:tc>
              </w:tr>
              <w:tr w:rsidR="00307F9E" w14:paraId="2B3DEAAC" w14:textId="77777777">
                <w:trPr>
                  <w:divId w:val="465852184"/>
                </w:trPr>
                <w:tc>
                  <w:tcPr>
                    <w:tcW w:w="0" w:type="auto"/>
                    <w:hideMark/>
                  </w:tcPr>
                  <w:p w14:paraId="458C08C3" w14:textId="77777777" w:rsidR="00307F9E" w:rsidRDefault="00307F9E">
                    <w:pPr>
                      <w:pStyle w:val="Bibliography"/>
                      <w:rPr>
                        <w:noProof/>
                      </w:rPr>
                    </w:pPr>
                    <w:r>
                      <w:rPr>
                        <w:noProof/>
                      </w:rPr>
                      <w:t xml:space="preserve">UNESCO Office Bangkok and Regional Bureau for Education in Asia and the Pacific (2007), </w:t>
                    </w:r>
                    <w:r>
                      <w:rPr>
                        <w:i/>
                        <w:iCs/>
                        <w:noProof/>
                      </w:rPr>
                      <w:t>Advocacy kit for promoting multilingual education: Including the excluded</w:t>
                    </w:r>
                    <w:r>
                      <w:rPr>
                        <w:noProof/>
                      </w:rPr>
                      <w:t xml:space="preserve">, UNESCO, Bangkok, </w:t>
                    </w:r>
                    <w:r>
                      <w:rPr>
                        <w:noProof/>
                        <w:color w:val="0000FF"/>
                        <w:u w:val="single"/>
                      </w:rPr>
                      <w:t>https://unesdoc.unesco.org/ark:/48223/pf0000152198</w:t>
                    </w:r>
                    <w:r>
                      <w:rPr>
                        <w:noProof/>
                      </w:rPr>
                      <w:t xml:space="preserve"> (accessed on 4 October 2021).</w:t>
                    </w:r>
                  </w:p>
                </w:tc>
                <w:tc>
                  <w:tcPr>
                    <w:tcW w:w="600" w:type="dxa"/>
                    <w:noWrap/>
                    <w:hideMark/>
                  </w:tcPr>
                  <w:p w14:paraId="2838EF37" w14:textId="77777777" w:rsidR="00307F9E" w:rsidRDefault="00307F9E">
                    <w:pPr>
                      <w:spacing w:before="100" w:beforeAutospacing="1" w:after="100" w:afterAutospacing="1"/>
                      <w:jc w:val="right"/>
                      <w:rPr>
                        <w:noProof/>
                      </w:rPr>
                    </w:pPr>
                    <w:r>
                      <w:rPr>
                        <w:noProof/>
                        <w:color w:val="000000"/>
                        <w:sz w:val="16"/>
                        <w:szCs w:val="16"/>
                      </w:rPr>
                      <w:t>[115]</w:t>
                    </w:r>
                  </w:p>
                </w:tc>
              </w:tr>
              <w:tr w:rsidR="00307F9E" w14:paraId="6A54414C" w14:textId="77777777">
                <w:trPr>
                  <w:divId w:val="465852184"/>
                </w:trPr>
                <w:tc>
                  <w:tcPr>
                    <w:tcW w:w="0" w:type="auto"/>
                    <w:hideMark/>
                  </w:tcPr>
                  <w:p w14:paraId="01608C39" w14:textId="77777777" w:rsidR="00307F9E" w:rsidRDefault="00307F9E">
                    <w:pPr>
                      <w:pStyle w:val="Bibliography"/>
                      <w:rPr>
                        <w:noProof/>
                      </w:rPr>
                    </w:pPr>
                    <w:r>
                      <w:rPr>
                        <w:noProof/>
                      </w:rPr>
                      <w:lastRenderedPageBreak/>
                      <w:t xml:space="preserve">Usborne, E. et al. (2009), “Bilingual education in an Aboriginal context: examining the transfer of language skills from Inuktitut to English or French”, </w:t>
                    </w:r>
                    <w:r>
                      <w:rPr>
                        <w:i/>
                        <w:iCs/>
                        <w:noProof/>
                      </w:rPr>
                      <w:t>International Journal of Bilingual Education and Bilingualism</w:t>
                    </w:r>
                    <w:r>
                      <w:rPr>
                        <w:noProof/>
                      </w:rPr>
                      <w:t xml:space="preserve">, Vol. 12, pp. 667-684, </w:t>
                    </w:r>
                    <w:r>
                      <w:rPr>
                        <w:noProof/>
                        <w:color w:val="0000FF"/>
                        <w:u w:val="single"/>
                      </w:rPr>
                      <w:t>https://doi.org/10.1080/13670050802684388</w:t>
                    </w:r>
                    <w:r>
                      <w:rPr>
                        <w:noProof/>
                      </w:rPr>
                      <w:t>.</w:t>
                    </w:r>
                  </w:p>
                </w:tc>
                <w:tc>
                  <w:tcPr>
                    <w:tcW w:w="600" w:type="dxa"/>
                    <w:noWrap/>
                    <w:hideMark/>
                  </w:tcPr>
                  <w:p w14:paraId="6FF021F9" w14:textId="77777777" w:rsidR="00307F9E" w:rsidRDefault="00307F9E">
                    <w:pPr>
                      <w:spacing w:before="100" w:beforeAutospacing="1" w:after="100" w:afterAutospacing="1"/>
                      <w:jc w:val="right"/>
                      <w:rPr>
                        <w:noProof/>
                      </w:rPr>
                    </w:pPr>
                    <w:r>
                      <w:rPr>
                        <w:noProof/>
                        <w:color w:val="000000"/>
                        <w:sz w:val="16"/>
                        <w:szCs w:val="16"/>
                      </w:rPr>
                      <w:t>[117]</w:t>
                    </w:r>
                  </w:p>
                </w:tc>
              </w:tr>
              <w:tr w:rsidR="00307F9E" w14:paraId="6AF5C99B" w14:textId="77777777">
                <w:trPr>
                  <w:divId w:val="465852184"/>
                </w:trPr>
                <w:tc>
                  <w:tcPr>
                    <w:tcW w:w="0" w:type="auto"/>
                    <w:hideMark/>
                  </w:tcPr>
                  <w:p w14:paraId="3D59DEF2" w14:textId="77777777" w:rsidR="00307F9E" w:rsidRDefault="00307F9E">
                    <w:pPr>
                      <w:pStyle w:val="Bibliography"/>
                      <w:rPr>
                        <w:noProof/>
                      </w:rPr>
                    </w:pPr>
                    <w:r>
                      <w:rPr>
                        <w:noProof/>
                      </w:rPr>
                      <w:t xml:space="preserve">Usborne, E., P. D. and D. Taylor (2011), “Learning through an Aboriginal Language: The Impact on Students’ English and Aboriginal Language Skills”, </w:t>
                    </w:r>
                    <w:r>
                      <w:rPr>
                        <w:i/>
                        <w:iCs/>
                        <w:noProof/>
                      </w:rPr>
                      <w:t>Canadian Journal of Education / Revue canadienne de l’éducation</w:t>
                    </w:r>
                    <w:r>
                      <w:rPr>
                        <w:noProof/>
                      </w:rPr>
                      <w:t>, Vol. 34, pp. 200-215.</w:t>
                    </w:r>
                  </w:p>
                </w:tc>
                <w:tc>
                  <w:tcPr>
                    <w:tcW w:w="600" w:type="dxa"/>
                    <w:noWrap/>
                    <w:hideMark/>
                  </w:tcPr>
                  <w:p w14:paraId="3BCAB7B1" w14:textId="77777777" w:rsidR="00307F9E" w:rsidRDefault="00307F9E">
                    <w:pPr>
                      <w:spacing w:before="100" w:beforeAutospacing="1" w:after="100" w:afterAutospacing="1"/>
                      <w:jc w:val="right"/>
                      <w:rPr>
                        <w:noProof/>
                      </w:rPr>
                    </w:pPr>
                    <w:r>
                      <w:rPr>
                        <w:noProof/>
                        <w:color w:val="000000"/>
                        <w:sz w:val="16"/>
                        <w:szCs w:val="16"/>
                      </w:rPr>
                      <w:t>[156]</w:t>
                    </w:r>
                  </w:p>
                </w:tc>
              </w:tr>
              <w:tr w:rsidR="00307F9E" w14:paraId="4B1953EE" w14:textId="77777777">
                <w:trPr>
                  <w:divId w:val="465852184"/>
                </w:trPr>
                <w:tc>
                  <w:tcPr>
                    <w:tcW w:w="0" w:type="auto"/>
                    <w:hideMark/>
                  </w:tcPr>
                  <w:p w14:paraId="72442402" w14:textId="77777777" w:rsidR="00307F9E" w:rsidRDefault="00307F9E">
                    <w:pPr>
                      <w:pStyle w:val="Bibliography"/>
                      <w:rPr>
                        <w:noProof/>
                      </w:rPr>
                    </w:pPr>
                    <w:r>
                      <w:rPr>
                        <w:noProof/>
                      </w:rPr>
                      <w:t xml:space="preserve">Victorian Aboriginal Corporation for Languages (n.d.), , </w:t>
                    </w:r>
                    <w:r>
                      <w:rPr>
                        <w:noProof/>
                        <w:color w:val="0000FF"/>
                        <w:u w:val="single"/>
                      </w:rPr>
                      <w:t>http://www.vaclang.org.au/home</w:t>
                    </w:r>
                    <w:r>
                      <w:rPr>
                        <w:noProof/>
                      </w:rPr>
                      <w:t xml:space="preserve"> (accessed on 24 September 2021).</w:t>
                    </w:r>
                  </w:p>
                </w:tc>
                <w:tc>
                  <w:tcPr>
                    <w:tcW w:w="600" w:type="dxa"/>
                    <w:noWrap/>
                    <w:hideMark/>
                  </w:tcPr>
                  <w:p w14:paraId="3B2665BA" w14:textId="77777777" w:rsidR="00307F9E" w:rsidRDefault="00307F9E">
                    <w:pPr>
                      <w:spacing w:before="100" w:beforeAutospacing="1" w:after="100" w:afterAutospacing="1"/>
                      <w:jc w:val="right"/>
                      <w:rPr>
                        <w:noProof/>
                      </w:rPr>
                    </w:pPr>
                    <w:r>
                      <w:rPr>
                        <w:noProof/>
                        <w:color w:val="000000"/>
                        <w:sz w:val="16"/>
                        <w:szCs w:val="16"/>
                      </w:rPr>
                      <w:t>[35]</w:t>
                    </w:r>
                  </w:p>
                </w:tc>
              </w:tr>
              <w:tr w:rsidR="00307F9E" w14:paraId="6BEB5AD2" w14:textId="77777777">
                <w:trPr>
                  <w:divId w:val="465852184"/>
                </w:trPr>
                <w:tc>
                  <w:tcPr>
                    <w:tcW w:w="0" w:type="auto"/>
                    <w:hideMark/>
                  </w:tcPr>
                  <w:p w14:paraId="25B5B69E" w14:textId="77777777" w:rsidR="00307F9E" w:rsidRDefault="00307F9E">
                    <w:pPr>
                      <w:pStyle w:val="Bibliography"/>
                      <w:rPr>
                        <w:noProof/>
                      </w:rPr>
                    </w:pPr>
                    <w:r>
                      <w:rPr>
                        <w:noProof/>
                      </w:rPr>
                      <w:t xml:space="preserve">Victorian Curriculum and Assessment Authority (2015), </w:t>
                    </w:r>
                    <w:r>
                      <w:rPr>
                        <w:i/>
                        <w:iCs/>
                        <w:noProof/>
                      </w:rPr>
                      <w:t>Victorian Curriculum F–10: Victorian Aboriginal Languages</w:t>
                    </w:r>
                    <w:r>
                      <w:rPr>
                        <w:noProof/>
                      </w:rPr>
                      <w:t xml:space="preserve">, Victorian Curriculum and Assessment Authority, Melbourne, </w:t>
                    </w:r>
                    <w:r>
                      <w:rPr>
                        <w:noProof/>
                        <w:color w:val="0000FF"/>
                        <w:u w:val="single"/>
                      </w:rPr>
                      <w:t>https://victoriancurriculum.vcaa.vic.edu.au/languages/victorian-aboriginal-languages/curriculum/f-10</w:t>
                    </w:r>
                    <w:r>
                      <w:rPr>
                        <w:noProof/>
                      </w:rPr>
                      <w:t xml:space="preserve"> (accessed on 4 October 2021).</w:t>
                    </w:r>
                  </w:p>
                </w:tc>
                <w:tc>
                  <w:tcPr>
                    <w:tcW w:w="600" w:type="dxa"/>
                    <w:noWrap/>
                    <w:hideMark/>
                  </w:tcPr>
                  <w:p w14:paraId="472B871E" w14:textId="77777777" w:rsidR="00307F9E" w:rsidRDefault="00307F9E">
                    <w:pPr>
                      <w:spacing w:before="100" w:beforeAutospacing="1" w:after="100" w:afterAutospacing="1"/>
                      <w:jc w:val="right"/>
                      <w:rPr>
                        <w:noProof/>
                      </w:rPr>
                    </w:pPr>
                    <w:r>
                      <w:rPr>
                        <w:noProof/>
                        <w:color w:val="000000"/>
                        <w:sz w:val="16"/>
                        <w:szCs w:val="16"/>
                      </w:rPr>
                      <w:t>[84]</w:t>
                    </w:r>
                  </w:p>
                </w:tc>
              </w:tr>
              <w:tr w:rsidR="00307F9E" w14:paraId="60026E08" w14:textId="77777777">
                <w:trPr>
                  <w:divId w:val="465852184"/>
                </w:trPr>
                <w:tc>
                  <w:tcPr>
                    <w:tcW w:w="0" w:type="auto"/>
                    <w:hideMark/>
                  </w:tcPr>
                  <w:p w14:paraId="3F080AB9" w14:textId="77777777" w:rsidR="00307F9E" w:rsidRDefault="00307F9E">
                    <w:pPr>
                      <w:pStyle w:val="Bibliography"/>
                      <w:rPr>
                        <w:noProof/>
                      </w:rPr>
                    </w:pPr>
                    <w:r>
                      <w:rPr>
                        <w:noProof/>
                      </w:rPr>
                      <w:t xml:space="preserve">Waitangi Tribunal (1986), </w:t>
                    </w:r>
                    <w:r>
                      <w:rPr>
                        <w:i/>
                        <w:iCs/>
                        <w:noProof/>
                      </w:rPr>
                      <w:t>Report of the Waitangi Tribunal on the te reo Māori claim</w:t>
                    </w:r>
                    <w:r>
                      <w:rPr>
                        <w:noProof/>
                      </w:rPr>
                      <w:t>, Department of Justice, Wellington.</w:t>
                    </w:r>
                  </w:p>
                </w:tc>
                <w:tc>
                  <w:tcPr>
                    <w:tcW w:w="600" w:type="dxa"/>
                    <w:noWrap/>
                    <w:hideMark/>
                  </w:tcPr>
                  <w:p w14:paraId="32902C5B" w14:textId="77777777" w:rsidR="00307F9E" w:rsidRDefault="00307F9E">
                    <w:pPr>
                      <w:spacing w:before="100" w:beforeAutospacing="1" w:after="100" w:afterAutospacing="1"/>
                      <w:jc w:val="right"/>
                      <w:rPr>
                        <w:noProof/>
                      </w:rPr>
                    </w:pPr>
                    <w:r>
                      <w:rPr>
                        <w:noProof/>
                        <w:color w:val="000000"/>
                        <w:sz w:val="16"/>
                        <w:szCs w:val="16"/>
                      </w:rPr>
                      <w:t>[20]</w:t>
                    </w:r>
                  </w:p>
                </w:tc>
              </w:tr>
              <w:tr w:rsidR="00307F9E" w14:paraId="3405DAB1" w14:textId="77777777">
                <w:trPr>
                  <w:divId w:val="465852184"/>
                </w:trPr>
                <w:tc>
                  <w:tcPr>
                    <w:tcW w:w="0" w:type="auto"/>
                    <w:hideMark/>
                  </w:tcPr>
                  <w:p w14:paraId="584413FA" w14:textId="77777777" w:rsidR="00307F9E" w:rsidRDefault="00307F9E">
                    <w:pPr>
                      <w:pStyle w:val="Bibliography"/>
                      <w:rPr>
                        <w:noProof/>
                      </w:rPr>
                    </w:pPr>
                    <w:r>
                      <w:rPr>
                        <w:noProof/>
                      </w:rPr>
                      <w:t>Webb, C. (2017), “Bringing Gumbaynggirr language back to the mob”,</w:t>
                    </w:r>
                    <w:r>
                      <w:rPr>
                        <w:i/>
                        <w:iCs/>
                        <w:noProof/>
                      </w:rPr>
                      <w:t xml:space="preserve"> NITV News</w:t>
                    </w:r>
                    <w:r>
                      <w:rPr>
                        <w:noProof/>
                      </w:rPr>
                      <w:t xml:space="preserve">, </w:t>
                    </w:r>
                    <w:r>
                      <w:rPr>
                        <w:noProof/>
                        <w:color w:val="0000FF"/>
                        <w:u w:val="single"/>
                      </w:rPr>
                      <w:t>https://www.youtube.com/watch?v=0OnA6re-P_U</w:t>
                    </w:r>
                    <w:r>
                      <w:rPr>
                        <w:noProof/>
                      </w:rPr>
                      <w:t xml:space="preserve"> (accessed on 4 October 2021).</w:t>
                    </w:r>
                  </w:p>
                </w:tc>
                <w:tc>
                  <w:tcPr>
                    <w:tcW w:w="600" w:type="dxa"/>
                    <w:noWrap/>
                    <w:hideMark/>
                  </w:tcPr>
                  <w:p w14:paraId="46BF4D50" w14:textId="77777777" w:rsidR="00307F9E" w:rsidRDefault="00307F9E">
                    <w:pPr>
                      <w:spacing w:before="100" w:beforeAutospacing="1" w:after="100" w:afterAutospacing="1"/>
                      <w:jc w:val="right"/>
                      <w:rPr>
                        <w:noProof/>
                      </w:rPr>
                    </w:pPr>
                    <w:r>
                      <w:rPr>
                        <w:noProof/>
                        <w:color w:val="000000"/>
                        <w:sz w:val="16"/>
                        <w:szCs w:val="16"/>
                      </w:rPr>
                      <w:t>[46]</w:t>
                    </w:r>
                  </w:p>
                </w:tc>
              </w:tr>
              <w:tr w:rsidR="00307F9E" w14:paraId="6F08E04F" w14:textId="77777777">
                <w:trPr>
                  <w:divId w:val="465852184"/>
                </w:trPr>
                <w:tc>
                  <w:tcPr>
                    <w:tcW w:w="0" w:type="auto"/>
                    <w:hideMark/>
                  </w:tcPr>
                  <w:p w14:paraId="5FA38FF7" w14:textId="77777777" w:rsidR="00307F9E" w:rsidRDefault="00307F9E">
                    <w:pPr>
                      <w:pStyle w:val="Bibliography"/>
                      <w:rPr>
                        <w:noProof/>
                      </w:rPr>
                    </w:pPr>
                    <w:r>
                      <w:rPr>
                        <w:noProof/>
                      </w:rPr>
                      <w:t xml:space="preserve">Weihipeipahana, N., K. Paipa and R. Smith (2018), </w:t>
                    </w:r>
                    <w:r>
                      <w:rPr>
                        <w:i/>
                        <w:iCs/>
                        <w:noProof/>
                      </w:rPr>
                      <w:t>Evaluation of the retention pilot programmes for Māori medium beginning teachers</w:t>
                    </w:r>
                    <w:r>
                      <w:rPr>
                        <w:noProof/>
                      </w:rPr>
                      <w:t>, Ministry of Education, Wellington.</w:t>
                    </w:r>
                  </w:p>
                </w:tc>
                <w:tc>
                  <w:tcPr>
                    <w:tcW w:w="600" w:type="dxa"/>
                    <w:noWrap/>
                    <w:hideMark/>
                  </w:tcPr>
                  <w:p w14:paraId="20D6E481" w14:textId="77777777" w:rsidR="00307F9E" w:rsidRDefault="00307F9E">
                    <w:pPr>
                      <w:spacing w:before="100" w:beforeAutospacing="1" w:after="100" w:afterAutospacing="1"/>
                      <w:jc w:val="right"/>
                      <w:rPr>
                        <w:noProof/>
                      </w:rPr>
                    </w:pPr>
                    <w:r>
                      <w:rPr>
                        <w:noProof/>
                        <w:color w:val="000000"/>
                        <w:sz w:val="16"/>
                        <w:szCs w:val="16"/>
                      </w:rPr>
                      <w:t>[208]</w:t>
                    </w:r>
                  </w:p>
                </w:tc>
              </w:tr>
              <w:tr w:rsidR="00307F9E" w14:paraId="4C01FBEB" w14:textId="77777777">
                <w:trPr>
                  <w:divId w:val="465852184"/>
                </w:trPr>
                <w:tc>
                  <w:tcPr>
                    <w:tcW w:w="0" w:type="auto"/>
                    <w:hideMark/>
                  </w:tcPr>
                  <w:p w14:paraId="4292206C" w14:textId="77777777" w:rsidR="00307F9E" w:rsidRDefault="00307F9E">
                    <w:pPr>
                      <w:pStyle w:val="Bibliography"/>
                      <w:rPr>
                        <w:noProof/>
                      </w:rPr>
                    </w:pPr>
                    <w:r>
                      <w:rPr>
                        <w:noProof/>
                      </w:rPr>
                      <w:t xml:space="preserve">Wei, L. (2011), “Moment analysis and translanguaging space: Discursive construction of identities by multilingual Chinese youth in Britain”, </w:t>
                    </w:r>
                    <w:r>
                      <w:rPr>
                        <w:i/>
                        <w:iCs/>
                        <w:noProof/>
                      </w:rPr>
                      <w:t>Journal of Pragmatics</w:t>
                    </w:r>
                    <w:r>
                      <w:rPr>
                        <w:noProof/>
                      </w:rPr>
                      <w:t>, Vol. 43, pp. 1222-1235.</w:t>
                    </w:r>
                  </w:p>
                </w:tc>
                <w:tc>
                  <w:tcPr>
                    <w:tcW w:w="600" w:type="dxa"/>
                    <w:noWrap/>
                    <w:hideMark/>
                  </w:tcPr>
                  <w:p w14:paraId="7AF2B476" w14:textId="77777777" w:rsidR="00307F9E" w:rsidRDefault="00307F9E">
                    <w:pPr>
                      <w:spacing w:before="100" w:beforeAutospacing="1" w:after="100" w:afterAutospacing="1"/>
                      <w:jc w:val="right"/>
                      <w:rPr>
                        <w:noProof/>
                      </w:rPr>
                    </w:pPr>
                    <w:r>
                      <w:rPr>
                        <w:noProof/>
                        <w:color w:val="000000"/>
                        <w:sz w:val="16"/>
                        <w:szCs w:val="16"/>
                      </w:rPr>
                      <w:t>[129]</w:t>
                    </w:r>
                  </w:p>
                </w:tc>
              </w:tr>
              <w:tr w:rsidR="00307F9E" w14:paraId="6263B014" w14:textId="77777777">
                <w:trPr>
                  <w:divId w:val="465852184"/>
                </w:trPr>
                <w:tc>
                  <w:tcPr>
                    <w:tcW w:w="0" w:type="auto"/>
                    <w:hideMark/>
                  </w:tcPr>
                  <w:p w14:paraId="032A3354" w14:textId="77777777" w:rsidR="00307F9E" w:rsidRDefault="00307F9E">
                    <w:pPr>
                      <w:pStyle w:val="Bibliography"/>
                      <w:rPr>
                        <w:noProof/>
                      </w:rPr>
                    </w:pPr>
                    <w:r>
                      <w:rPr>
                        <w:noProof/>
                      </w:rPr>
                      <w:t xml:space="preserve">Western Canadian Protocol for Collaboration in Basic Education; Oishi, M. (2000), </w:t>
                    </w:r>
                    <w:r>
                      <w:rPr>
                        <w:i/>
                        <w:iCs/>
                        <w:noProof/>
                      </w:rPr>
                      <w:t>The Common Curriculum Framework for Aboriginal Language and Culture Programs Kindergarten to Grade 12</w:t>
                    </w:r>
                    <w:r>
                      <w:rPr>
                        <w:noProof/>
                      </w:rPr>
                      <w:t>, The Crown in Right of the Governments of Alberta, British Columbia, Manitoba, Yukon Territory, Northwest Territories and Saskatchewan.</w:t>
                    </w:r>
                  </w:p>
                </w:tc>
                <w:tc>
                  <w:tcPr>
                    <w:tcW w:w="600" w:type="dxa"/>
                    <w:noWrap/>
                    <w:hideMark/>
                  </w:tcPr>
                  <w:p w14:paraId="04FFBF89" w14:textId="77777777" w:rsidR="00307F9E" w:rsidRDefault="00307F9E">
                    <w:pPr>
                      <w:spacing w:before="100" w:beforeAutospacing="1" w:after="100" w:afterAutospacing="1"/>
                      <w:jc w:val="right"/>
                      <w:rPr>
                        <w:noProof/>
                      </w:rPr>
                    </w:pPr>
                    <w:r>
                      <w:rPr>
                        <w:noProof/>
                        <w:color w:val="000000"/>
                        <w:sz w:val="16"/>
                        <w:szCs w:val="16"/>
                      </w:rPr>
                      <w:t>[90]</w:t>
                    </w:r>
                  </w:p>
                </w:tc>
              </w:tr>
              <w:tr w:rsidR="00307F9E" w14:paraId="39473656" w14:textId="77777777">
                <w:trPr>
                  <w:divId w:val="465852184"/>
                </w:trPr>
                <w:tc>
                  <w:tcPr>
                    <w:tcW w:w="0" w:type="auto"/>
                    <w:hideMark/>
                  </w:tcPr>
                  <w:p w14:paraId="2566E0C6" w14:textId="77777777" w:rsidR="00307F9E" w:rsidRDefault="00307F9E">
                    <w:pPr>
                      <w:pStyle w:val="Bibliography"/>
                      <w:rPr>
                        <w:noProof/>
                      </w:rPr>
                    </w:pPr>
                    <w:r>
                      <w:rPr>
                        <w:noProof/>
                      </w:rPr>
                      <w:t xml:space="preserve">Whitinui, P. (2008), “Kapa Haka counts: Improving participation levels of Māori students in mainstream secondary schools”, </w:t>
                    </w:r>
                    <w:r>
                      <w:rPr>
                        <w:i/>
                        <w:iCs/>
                        <w:noProof/>
                      </w:rPr>
                      <w:t>MAI Review</w:t>
                    </w:r>
                    <w:r>
                      <w:rPr>
                        <w:noProof/>
                      </w:rPr>
                      <w:t xml:space="preserve">, Vol. 3/8, </w:t>
                    </w:r>
                    <w:r>
                      <w:rPr>
                        <w:noProof/>
                        <w:color w:val="0000FF"/>
                        <w:u w:val="single"/>
                      </w:rPr>
                      <w:t>http://www.review.mai.ac.nz/mrindex/MR/article/view/187/194.html</w:t>
                    </w:r>
                    <w:r>
                      <w:rPr>
                        <w:noProof/>
                      </w:rPr>
                      <w:t xml:space="preserve"> (accessed on 4 October 2021).</w:t>
                    </w:r>
                  </w:p>
                </w:tc>
                <w:tc>
                  <w:tcPr>
                    <w:tcW w:w="600" w:type="dxa"/>
                    <w:noWrap/>
                    <w:hideMark/>
                  </w:tcPr>
                  <w:p w14:paraId="76C9DD99" w14:textId="77777777" w:rsidR="00307F9E" w:rsidRDefault="00307F9E">
                    <w:pPr>
                      <w:spacing w:before="100" w:beforeAutospacing="1" w:after="100" w:afterAutospacing="1"/>
                      <w:jc w:val="right"/>
                      <w:rPr>
                        <w:noProof/>
                      </w:rPr>
                    </w:pPr>
                    <w:r>
                      <w:rPr>
                        <w:noProof/>
                        <w:color w:val="000000"/>
                        <w:sz w:val="16"/>
                        <w:szCs w:val="16"/>
                      </w:rPr>
                      <w:t>[200]</w:t>
                    </w:r>
                  </w:p>
                </w:tc>
              </w:tr>
              <w:tr w:rsidR="00307F9E" w14:paraId="0585DE34" w14:textId="77777777">
                <w:trPr>
                  <w:divId w:val="465852184"/>
                </w:trPr>
                <w:tc>
                  <w:tcPr>
                    <w:tcW w:w="0" w:type="auto"/>
                    <w:hideMark/>
                  </w:tcPr>
                  <w:p w14:paraId="7BFC4F8A" w14:textId="77777777" w:rsidR="00307F9E" w:rsidRDefault="00307F9E">
                    <w:pPr>
                      <w:pStyle w:val="Bibliography"/>
                      <w:rPr>
                        <w:noProof/>
                      </w:rPr>
                    </w:pPr>
                    <w:r>
                      <w:rPr>
                        <w:noProof/>
                      </w:rPr>
                      <w:t xml:space="preserve">Wigglesworth, G. and J. Simpson (2018), “Going to school in a different world”, in Wigglesworth, G., J. Simpson and J. Vaughan (eds.), </w:t>
                    </w:r>
                    <w:r>
                      <w:rPr>
                        <w:i/>
                        <w:iCs/>
                        <w:noProof/>
                      </w:rPr>
                      <w:t>Language practices of Indigenous children and youth. The transition from home to school</w:t>
                    </w:r>
                    <w:r>
                      <w:rPr>
                        <w:noProof/>
                      </w:rPr>
                      <w:t>, Palgrave, London.</w:t>
                    </w:r>
                  </w:p>
                </w:tc>
                <w:tc>
                  <w:tcPr>
                    <w:tcW w:w="600" w:type="dxa"/>
                    <w:noWrap/>
                    <w:hideMark/>
                  </w:tcPr>
                  <w:p w14:paraId="19845A38" w14:textId="77777777" w:rsidR="00307F9E" w:rsidRDefault="00307F9E">
                    <w:pPr>
                      <w:spacing w:before="100" w:beforeAutospacing="1" w:after="100" w:afterAutospacing="1"/>
                      <w:jc w:val="right"/>
                      <w:rPr>
                        <w:noProof/>
                      </w:rPr>
                    </w:pPr>
                    <w:r>
                      <w:rPr>
                        <w:noProof/>
                        <w:color w:val="000000"/>
                        <w:sz w:val="16"/>
                        <w:szCs w:val="16"/>
                      </w:rPr>
                      <w:t>[166]</w:t>
                    </w:r>
                  </w:p>
                </w:tc>
              </w:tr>
              <w:tr w:rsidR="00307F9E" w14:paraId="28A173EE" w14:textId="77777777">
                <w:trPr>
                  <w:divId w:val="465852184"/>
                </w:trPr>
                <w:tc>
                  <w:tcPr>
                    <w:tcW w:w="0" w:type="auto"/>
                    <w:hideMark/>
                  </w:tcPr>
                  <w:p w14:paraId="7BAA2BC8" w14:textId="77777777" w:rsidR="00307F9E" w:rsidRDefault="00307F9E">
                    <w:pPr>
                      <w:pStyle w:val="Bibliography"/>
                      <w:rPr>
                        <w:noProof/>
                      </w:rPr>
                    </w:pPr>
                    <w:r>
                      <w:rPr>
                        <w:noProof/>
                      </w:rPr>
                      <w:t xml:space="preserve">Williams, S. (2011), </w:t>
                    </w:r>
                    <w:r>
                      <w:rPr>
                        <w:i/>
                        <w:iCs/>
                        <w:noProof/>
                      </w:rPr>
                      <w:t>The importance of teaching and learning Aboriginal languages and cultures. The triangularity between language and culture, educational engagement and community cultural health and wellbeing</w:t>
                    </w:r>
                    <w:r>
                      <w:rPr>
                        <w:noProof/>
                      </w:rPr>
                      <w:t>, Aboriginal Affairs, Surrey Hills NSW.</w:t>
                    </w:r>
                  </w:p>
                </w:tc>
                <w:tc>
                  <w:tcPr>
                    <w:tcW w:w="600" w:type="dxa"/>
                    <w:noWrap/>
                    <w:hideMark/>
                  </w:tcPr>
                  <w:p w14:paraId="4A5E8F04" w14:textId="77777777" w:rsidR="00307F9E" w:rsidRDefault="00307F9E">
                    <w:pPr>
                      <w:spacing w:before="100" w:beforeAutospacing="1" w:after="100" w:afterAutospacing="1"/>
                      <w:jc w:val="right"/>
                      <w:rPr>
                        <w:noProof/>
                      </w:rPr>
                    </w:pPr>
                    <w:r>
                      <w:rPr>
                        <w:noProof/>
                        <w:color w:val="000000"/>
                        <w:sz w:val="16"/>
                        <w:szCs w:val="16"/>
                      </w:rPr>
                      <w:t>[31]</w:t>
                    </w:r>
                  </w:p>
                </w:tc>
              </w:tr>
              <w:tr w:rsidR="00307F9E" w14:paraId="6550D7F7" w14:textId="77777777">
                <w:trPr>
                  <w:divId w:val="465852184"/>
                </w:trPr>
                <w:tc>
                  <w:tcPr>
                    <w:tcW w:w="0" w:type="auto"/>
                    <w:hideMark/>
                  </w:tcPr>
                  <w:p w14:paraId="54E94561" w14:textId="77777777" w:rsidR="00307F9E" w:rsidRDefault="00307F9E">
                    <w:pPr>
                      <w:pStyle w:val="Bibliography"/>
                      <w:rPr>
                        <w:noProof/>
                      </w:rPr>
                    </w:pPr>
                    <w:r>
                      <w:rPr>
                        <w:noProof/>
                      </w:rPr>
                      <w:t xml:space="preserve">Williams, S. (2011), </w:t>
                    </w:r>
                    <w:r>
                      <w:rPr>
                        <w:i/>
                        <w:iCs/>
                        <w:noProof/>
                      </w:rPr>
                      <w:t>The importance of teaching and learning Aboriginal languages and cultures. The triangularity between language and culture, educational engagement and community cultural health and wellbeing</w:t>
                    </w:r>
                    <w:r>
                      <w:rPr>
                        <w:noProof/>
                      </w:rPr>
                      <w:t>, Aboriginal Affairs, Surry Hills NSW.</w:t>
                    </w:r>
                  </w:p>
                </w:tc>
                <w:tc>
                  <w:tcPr>
                    <w:tcW w:w="600" w:type="dxa"/>
                    <w:noWrap/>
                    <w:hideMark/>
                  </w:tcPr>
                  <w:p w14:paraId="141784DD" w14:textId="77777777" w:rsidR="00307F9E" w:rsidRDefault="00307F9E">
                    <w:pPr>
                      <w:spacing w:before="100" w:beforeAutospacing="1" w:after="100" w:afterAutospacing="1"/>
                      <w:jc w:val="right"/>
                      <w:rPr>
                        <w:noProof/>
                      </w:rPr>
                    </w:pPr>
                    <w:r>
                      <w:rPr>
                        <w:noProof/>
                        <w:color w:val="000000"/>
                        <w:sz w:val="16"/>
                        <w:szCs w:val="16"/>
                      </w:rPr>
                      <w:t>[188]</w:t>
                    </w:r>
                  </w:p>
                </w:tc>
              </w:tr>
              <w:tr w:rsidR="00307F9E" w14:paraId="306A91AF" w14:textId="77777777">
                <w:trPr>
                  <w:divId w:val="465852184"/>
                </w:trPr>
                <w:tc>
                  <w:tcPr>
                    <w:tcW w:w="0" w:type="auto"/>
                    <w:hideMark/>
                  </w:tcPr>
                  <w:p w14:paraId="697A1C15" w14:textId="77777777" w:rsidR="00307F9E" w:rsidRDefault="00307F9E">
                    <w:pPr>
                      <w:pStyle w:val="Bibliography"/>
                      <w:rPr>
                        <w:noProof/>
                      </w:rPr>
                    </w:pPr>
                    <w:r>
                      <w:rPr>
                        <w:noProof/>
                      </w:rPr>
                      <w:t xml:space="preserve">Winsler, A. et al. (1999), “When Learning a Second Language Does Not Mean Losing the First: Bilingual Language Development in Low-Income, Spanish-Speaking Children Attending”, </w:t>
                    </w:r>
                    <w:r>
                      <w:rPr>
                        <w:i/>
                        <w:iCs/>
                        <w:noProof/>
                      </w:rPr>
                      <w:t>Child Development</w:t>
                    </w:r>
                    <w:r>
                      <w:rPr>
                        <w:noProof/>
                      </w:rPr>
                      <w:t>, Vol. 70, pp. 349-362.</w:t>
                    </w:r>
                  </w:p>
                </w:tc>
                <w:tc>
                  <w:tcPr>
                    <w:tcW w:w="600" w:type="dxa"/>
                    <w:noWrap/>
                    <w:hideMark/>
                  </w:tcPr>
                  <w:p w14:paraId="0C944D6A" w14:textId="77777777" w:rsidR="00307F9E" w:rsidRDefault="00307F9E">
                    <w:pPr>
                      <w:spacing w:before="100" w:beforeAutospacing="1" w:after="100" w:afterAutospacing="1"/>
                      <w:jc w:val="right"/>
                      <w:rPr>
                        <w:noProof/>
                      </w:rPr>
                    </w:pPr>
                    <w:r>
                      <w:rPr>
                        <w:noProof/>
                        <w:color w:val="000000"/>
                        <w:sz w:val="16"/>
                        <w:szCs w:val="16"/>
                      </w:rPr>
                      <w:t>[124]</w:t>
                    </w:r>
                  </w:p>
                </w:tc>
              </w:tr>
              <w:tr w:rsidR="00307F9E" w14:paraId="28662DD3" w14:textId="77777777">
                <w:trPr>
                  <w:divId w:val="465852184"/>
                </w:trPr>
                <w:tc>
                  <w:tcPr>
                    <w:tcW w:w="0" w:type="auto"/>
                    <w:hideMark/>
                  </w:tcPr>
                  <w:p w14:paraId="0363A691" w14:textId="77777777" w:rsidR="00307F9E" w:rsidRDefault="00307F9E">
                    <w:pPr>
                      <w:pStyle w:val="Bibliography"/>
                      <w:rPr>
                        <w:noProof/>
                      </w:rPr>
                    </w:pPr>
                    <w:r>
                      <w:rPr>
                        <w:noProof/>
                      </w:rPr>
                      <w:lastRenderedPageBreak/>
                      <w:t xml:space="preserve">Woll, B. and L. Wei (2019), </w:t>
                    </w:r>
                    <w:r>
                      <w:rPr>
                        <w:i/>
                        <w:iCs/>
                        <w:noProof/>
                      </w:rPr>
                      <w:t>Cognitive Benefits of Language Learning: Broadening our perspectives. Final Report to the British Academy</w:t>
                    </w:r>
                    <w:r>
                      <w:rPr>
                        <w:noProof/>
                      </w:rPr>
                      <w:t xml:space="preserve">, The British Academy, </w:t>
                    </w:r>
                    <w:r>
                      <w:rPr>
                        <w:noProof/>
                        <w:color w:val="0000FF"/>
                        <w:u w:val="single"/>
                      </w:rPr>
                      <w:t>https://www.thebritishacademy.ac.uk/documents/287/Cognitive-Benefits-Language-Learning-Final-Report.pdf</w:t>
                    </w:r>
                    <w:r>
                      <w:rPr>
                        <w:noProof/>
                      </w:rPr>
                      <w:t xml:space="preserve"> (accessed on 4 October 2021).</w:t>
                    </w:r>
                  </w:p>
                </w:tc>
                <w:tc>
                  <w:tcPr>
                    <w:tcW w:w="600" w:type="dxa"/>
                    <w:noWrap/>
                    <w:hideMark/>
                  </w:tcPr>
                  <w:p w14:paraId="20F9C0CD" w14:textId="77777777" w:rsidR="00307F9E" w:rsidRDefault="00307F9E">
                    <w:pPr>
                      <w:spacing w:before="100" w:beforeAutospacing="1" w:after="100" w:afterAutospacing="1"/>
                      <w:jc w:val="right"/>
                      <w:rPr>
                        <w:noProof/>
                      </w:rPr>
                    </w:pPr>
                    <w:r>
                      <w:rPr>
                        <w:noProof/>
                        <w:color w:val="000000"/>
                        <w:sz w:val="16"/>
                        <w:szCs w:val="16"/>
                      </w:rPr>
                      <w:t>[58]</w:t>
                    </w:r>
                  </w:p>
                </w:tc>
              </w:tr>
            </w:tbl>
            <w:p w14:paraId="72F8B7B7" w14:textId="77777777" w:rsidR="00307F9E" w:rsidRDefault="00307F9E">
              <w:pPr>
                <w:divId w:val="465852184"/>
                <w:rPr>
                  <w:rFonts w:eastAsia="Times New Roman"/>
                  <w:noProof/>
                </w:rPr>
              </w:pPr>
            </w:p>
            <w:p w14:paraId="5797A3B0" w14:textId="4CEC7569" w:rsidR="00307F9E" w:rsidRDefault="00307F9E">
              <w:r>
                <w:rPr>
                  <w:b/>
                  <w:bCs/>
                  <w:noProof/>
                </w:rPr>
                <w:fldChar w:fldCharType="end"/>
              </w:r>
            </w:p>
          </w:sdtContent>
        </w:sdt>
      </w:sdtContent>
    </w:sdt>
    <w:p w14:paraId="3836903B" w14:textId="77777777" w:rsidR="006145A3" w:rsidRPr="00A92F51" w:rsidRDefault="006145A3" w:rsidP="007F4A01">
      <w:pPr>
        <w:pStyle w:val="Para0"/>
      </w:pPr>
    </w:p>
    <w:sectPr w:rsidR="006145A3" w:rsidRPr="00A92F51" w:rsidSect="00CA5B8D">
      <w:headerReference w:type="even" r:id="rId37"/>
      <w:headerReference w:type="default" r:id="rId38"/>
      <w:footerReference w:type="even" r:id="rId39"/>
      <w:footerReference w:type="default" r:id="rId40"/>
      <w:endnotePr>
        <w:numFmt w:val="decimal"/>
        <w:numRestart w:val="eachSect"/>
      </w:endnotePr>
      <w:type w:val="continuous"/>
      <w:pgSz w:w="11906" w:h="16838" w:code="9"/>
      <w:pgMar w:top="1814" w:right="1304" w:bottom="1758" w:left="1304" w:header="124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C857E" w14:textId="77777777" w:rsidR="0015026C" w:rsidRDefault="0015026C" w:rsidP="00CC3749"/>
  </w:endnote>
  <w:endnote w:type="continuationSeparator" w:id="0">
    <w:p w14:paraId="5EADD7EE" w14:textId="77777777" w:rsidR="0015026C" w:rsidRPr="00CF4424" w:rsidRDefault="0015026C" w:rsidP="00CF4424">
      <w:pPr>
        <w:pStyle w:val="Footer"/>
        <w:jc w:val="both"/>
      </w:pPr>
    </w:p>
  </w:endnote>
  <w:endnote w:type="continuationNotice" w:id="1">
    <w:p w14:paraId="485AC9B2" w14:textId="77777777" w:rsidR="0015026C" w:rsidRDefault="001502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modern"/>
    <w:pitch w:val="fixed"/>
    <w:sig w:usb0="00000000" w:usb1="09060000" w:usb2="00000010" w:usb3="00000000" w:csb0="00080000" w:csb1="00000000"/>
  </w:font>
  <w:font w:name="StatLink">
    <w:panose1 w:val="02000000000000000000"/>
    <w:charset w:val="00"/>
    <w:family w:val="auto"/>
    <w:pitch w:val="variable"/>
    <w:sig w:usb0="80000003" w:usb1="00000000" w:usb2="00000000" w:usb3="00000000" w:csb0="00000001" w:csb1="00000000"/>
  </w:font>
  <w:font w:name="Batang">
    <w:altName w:val="바탕"/>
    <w:panose1 w:val="02030600000101010101"/>
    <w:charset w:val="81"/>
    <w:family w:val="roman"/>
    <w:pitch w:val="variable"/>
    <w:sig w:usb0="00000000"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Document Title"/>
      <w:tag w:val="FooterDocTitle"/>
      <w:id w:val="-1891184270"/>
      <w:lock w:val="sdtLocked"/>
    </w:sdtPr>
    <w:sdtEndPr/>
    <w:sdtContent>
      <w:p w14:paraId="6418E1FA" w14:textId="77777777" w:rsidR="00CA5B8D" w:rsidRDefault="00CA5B8D" w:rsidP="004E100F">
        <w:pPr>
          <w:pStyle w:val="Footer"/>
          <w:jc w:val="right"/>
        </w:pPr>
        <w:r>
          <w:t xml:space="preserve"> </w:t>
        </w:r>
      </w:p>
    </w:sdtContent>
  </w:sdt>
  <w:sdt>
    <w:sdtPr>
      <w:alias w:val="Classification"/>
      <w:tag w:val="txtHeaderClassif"/>
      <w:id w:val="2082175495"/>
      <w:lock w:val="sdtLocked"/>
    </w:sdtPr>
    <w:sdtEndPr/>
    <w:sdtContent>
      <w:p w14:paraId="29A215D4" w14:textId="77777777" w:rsidR="00CA5B8D" w:rsidRDefault="00CA5B8D" w:rsidP="004E100F">
        <w:pPr>
          <w:pStyle w:val="FooterClassification"/>
          <w:jc w:val="left"/>
        </w:pP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Document Title"/>
      <w:tag w:val="FooterDocTitle"/>
      <w:id w:val="-1006983066"/>
      <w:lock w:val="sdtLocked"/>
    </w:sdtPr>
    <w:sdtEndPr/>
    <w:sdtContent>
      <w:p w14:paraId="08A98E4F" w14:textId="77777777" w:rsidR="00CA5B8D" w:rsidRPr="00FD7BD8" w:rsidRDefault="00CA5B8D" w:rsidP="004E100F">
        <w:pPr>
          <w:pStyle w:val="Footer"/>
          <w:jc w:val="left"/>
          <w:rPr>
            <w:caps w:val="0"/>
            <w:szCs w:val="16"/>
          </w:rPr>
        </w:pPr>
        <w:r>
          <w:t xml:space="preserve"> </w:t>
        </w:r>
      </w:p>
    </w:sdtContent>
  </w:sdt>
  <w:sdt>
    <w:sdtPr>
      <w:alias w:val="Classification"/>
      <w:tag w:val="txtHeaderClassif"/>
      <w:id w:val="-1442905052"/>
      <w:lock w:val="sdtLocked"/>
    </w:sdtPr>
    <w:sdtEndPr/>
    <w:sdtContent>
      <w:p w14:paraId="6BC51B14" w14:textId="77777777" w:rsidR="00CA5B8D" w:rsidRPr="00FD7BD8" w:rsidRDefault="00CA5B8D" w:rsidP="004E100F">
        <w:pPr>
          <w:pStyle w:val="FooterClassification"/>
          <w:rPr>
            <w:szCs w:val="16"/>
          </w:rPr>
        </w:pP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EE436" w14:textId="77777777" w:rsidR="00802DDB" w:rsidRDefault="00802D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Document Title"/>
      <w:tag w:val="FooterDocTitle"/>
      <w:id w:val="1217002386"/>
      <w:lock w:val="sdtLocked"/>
    </w:sdtPr>
    <w:sdtEndPr/>
    <w:sdtContent>
      <w:p w14:paraId="4B35907B" w14:textId="77777777" w:rsidR="00CA5B8D" w:rsidRDefault="00CA5B8D" w:rsidP="004E100F">
        <w:pPr>
          <w:pStyle w:val="Footer"/>
          <w:jc w:val="right"/>
        </w:pPr>
        <w:r>
          <w:t xml:space="preserve"> </w:t>
        </w:r>
      </w:p>
    </w:sdtContent>
  </w:sdt>
  <w:sdt>
    <w:sdtPr>
      <w:alias w:val="Classification"/>
      <w:tag w:val="txtHeaderClassif"/>
      <w:id w:val="-1918931641"/>
      <w:lock w:val="sdtLocked"/>
    </w:sdtPr>
    <w:sdtEndPr/>
    <w:sdtContent>
      <w:p w14:paraId="60F49D04" w14:textId="77777777" w:rsidR="00CA5B8D" w:rsidRDefault="00CA5B8D" w:rsidP="004E100F">
        <w:pPr>
          <w:pStyle w:val="FooterClassification"/>
          <w:jc w:val="left"/>
        </w:pPr>
        <w: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Document Title"/>
      <w:tag w:val="FooterDocTitle"/>
      <w:id w:val="-1884096409"/>
      <w:lock w:val="sdtLocked"/>
    </w:sdtPr>
    <w:sdtEndPr/>
    <w:sdtContent>
      <w:p w14:paraId="7896B5D0" w14:textId="77777777" w:rsidR="00CA5B8D" w:rsidRPr="00FD7BD8" w:rsidRDefault="00CA5B8D" w:rsidP="004E100F">
        <w:pPr>
          <w:pStyle w:val="Footer"/>
          <w:jc w:val="left"/>
          <w:rPr>
            <w:caps w:val="0"/>
            <w:szCs w:val="16"/>
          </w:rPr>
        </w:pPr>
        <w:r>
          <w:t xml:space="preserve"> </w:t>
        </w:r>
      </w:p>
    </w:sdtContent>
  </w:sdt>
  <w:sdt>
    <w:sdtPr>
      <w:alias w:val="Classification"/>
      <w:tag w:val="txtHeaderClassif"/>
      <w:id w:val="-311407045"/>
      <w:lock w:val="sdtLocked"/>
    </w:sdtPr>
    <w:sdtEndPr/>
    <w:sdtContent>
      <w:p w14:paraId="48C9DB88" w14:textId="77777777" w:rsidR="00CA5B8D" w:rsidRPr="00FD7BD8" w:rsidRDefault="00CA5B8D" w:rsidP="004E100F">
        <w:pPr>
          <w:pStyle w:val="FooterClassification"/>
          <w:rPr>
            <w:szCs w:val="16"/>
          </w:rPr>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62BE9" w14:textId="77777777" w:rsidR="0015026C" w:rsidRDefault="0015026C" w:rsidP="00CC3749">
      <w:r>
        <w:separator/>
      </w:r>
    </w:p>
  </w:footnote>
  <w:footnote w:type="continuationSeparator" w:id="0">
    <w:p w14:paraId="2B66BF43" w14:textId="77777777" w:rsidR="0015026C" w:rsidRDefault="0015026C" w:rsidP="00CC3749">
      <w:r>
        <w:continuationSeparator/>
      </w:r>
    </w:p>
  </w:footnote>
  <w:footnote w:id="1">
    <w:p w14:paraId="5D64FA00" w14:textId="77777777" w:rsidR="00802DDB" w:rsidRPr="00D01BAE" w:rsidRDefault="00802DDB" w:rsidP="006145A3">
      <w:pPr>
        <w:pStyle w:val="FootnoteText"/>
      </w:pPr>
      <w:r>
        <w:rPr>
          <w:rStyle w:val="FootnoteReference"/>
        </w:rPr>
        <w:footnoteRef/>
      </w:r>
      <w:r w:rsidRPr="00D01BAE">
        <w:t xml:space="preserve"> See </w:t>
      </w:r>
      <w:hyperlink r:id="rId1" w:history="1">
        <w:r w:rsidRPr="00D01BAE">
          <w:rPr>
            <w:rStyle w:val="Hyperlink"/>
          </w:rPr>
          <w:t>https://www.toknz/Administrators+Corner/Principles+of+Partnership.htmlelau.org</w:t>
        </w:r>
      </w:hyperlink>
      <w:r w:rsidRPr="00D01BAE">
        <w:rPr>
          <w:rStyle w:val="Hyperlink"/>
          <w:color w:val="auto"/>
          <w:u w:val="none"/>
        </w:rPr>
        <w:t xml:space="preserve"> </w:t>
      </w:r>
    </w:p>
  </w:footnote>
  <w:footnote w:id="2">
    <w:p w14:paraId="05D7C9BD" w14:textId="77777777" w:rsidR="00802DDB" w:rsidRDefault="00802DDB" w:rsidP="006145A3">
      <w:pPr>
        <w:pStyle w:val="FootnoteText"/>
      </w:pPr>
      <w:r>
        <w:rPr>
          <w:rStyle w:val="FootnoteReference"/>
        </w:rPr>
        <w:footnoteRef/>
      </w:r>
      <w:r>
        <w:t xml:space="preserve"> See </w:t>
      </w:r>
      <w:hyperlink r:id="rId2" w:history="1">
        <w:r w:rsidRPr="00512B61">
          <w:rPr>
            <w:rStyle w:val="Hyperlink"/>
            <w:iCs/>
          </w:rPr>
          <w:t>https://mataurangamaori.tki.org.nz/</w:t>
        </w:r>
      </w:hyperlink>
      <w:r>
        <w:rPr>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76BF3" w14:textId="7BE47D78" w:rsidR="00CA5B8D" w:rsidRDefault="008D0BBE" w:rsidP="004E100F">
    <w:pPr>
      <w:pStyle w:val="Header"/>
    </w:pPr>
    <w:sdt>
      <w:sdtPr>
        <w:rPr>
          <w:rStyle w:val="PageNumber"/>
        </w:rPr>
        <w:alias w:val="Page Number"/>
        <w:tag w:val="TxtPageNumber"/>
        <w:id w:val="-813640915"/>
        <w:lock w:val="sdtLocked"/>
      </w:sdtPr>
      <w:sdtEndPr>
        <w:rPr>
          <w:rStyle w:val="DefaultParagraphFont"/>
          <w:b w:val="0"/>
        </w:rPr>
      </w:sdtEndPr>
      <w:sdtContent>
        <w:r w:rsidR="00CA5B8D" w:rsidRPr="00CC3749">
          <w:rPr>
            <w:rStyle w:val="PageNumber"/>
          </w:rPr>
          <w:fldChar w:fldCharType="begin"/>
        </w:r>
        <w:r w:rsidR="00CA5B8D" w:rsidRPr="00CC3749">
          <w:rPr>
            <w:rStyle w:val="PageNumber"/>
          </w:rPr>
          <w:instrText xml:space="preserve"> PAGE   \* MERGEFORMAT </w:instrText>
        </w:r>
        <w:r w:rsidR="00CA5B8D" w:rsidRPr="00CC3749">
          <w:rPr>
            <w:rStyle w:val="PageNumber"/>
          </w:rPr>
          <w:fldChar w:fldCharType="separate"/>
        </w:r>
        <w:r w:rsidR="00CA5B8D">
          <w:rPr>
            <w:rStyle w:val="PageNumber"/>
            <w:noProof/>
          </w:rPr>
          <w:t>1</w:t>
        </w:r>
        <w:r w:rsidR="00CA5B8D" w:rsidRPr="00CC3749">
          <w:rPr>
            <w:rStyle w:val="PageNumber"/>
            <w:noProof/>
          </w:rPr>
          <w:fldChar w:fldCharType="end"/>
        </w:r>
      </w:sdtContent>
    </w:sdt>
    <w:r w:rsidR="00CA5B8D">
      <w:t xml:space="preserve"> </w:t>
    </w:r>
    <w:r w:rsidR="00CA5B8D">
      <w:sym w:font="Symbol" w:char="F07C"/>
    </w:r>
    <w:r w:rsidR="00CA5B8D">
      <w:t xml:space="preserve"> </w:t>
    </w:r>
    <w:sdt>
      <w:sdtPr>
        <w:rPr>
          <w:rStyle w:val="HeaderTitle"/>
        </w:rPr>
        <w:alias w:val="Cote/Chapter"/>
        <w:tag w:val="txtHeaderValue"/>
        <w:id w:val="-727462502"/>
        <w:lock w:val="sdtLocked"/>
      </w:sdtPr>
      <w:sdtEndPr>
        <w:rPr>
          <w:rStyle w:val="DefaultParagraphFont"/>
          <w:caps w:val="0"/>
          <w:sz w:val="22"/>
        </w:rPr>
      </w:sdtEndPr>
      <w:sdtContent>
        <w:r w:rsidR="00CA5B8D">
          <w:rPr>
            <w:rStyle w:val="HeaderTitle"/>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470C2" w14:textId="4DC383B0" w:rsidR="00CA5B8D" w:rsidRDefault="008D0BBE" w:rsidP="004E100F">
    <w:pPr>
      <w:pStyle w:val="Header"/>
      <w:jc w:val="right"/>
    </w:pPr>
    <w:sdt>
      <w:sdtPr>
        <w:rPr>
          <w:rStyle w:val="HeaderTitle"/>
        </w:rPr>
        <w:alias w:val="Cote/Chapter"/>
        <w:tag w:val="txtHeaderValue"/>
        <w:id w:val="-1579129688"/>
        <w:lock w:val="sdtLocked"/>
      </w:sdtPr>
      <w:sdtEndPr>
        <w:rPr>
          <w:rStyle w:val="DefaultParagraphFont"/>
          <w:caps w:val="0"/>
          <w:sz w:val="22"/>
        </w:rPr>
      </w:sdtEndPr>
      <w:sdtContent>
        <w:r w:rsidR="00CA5B8D">
          <w:rPr>
            <w:rStyle w:val="HeaderTitle"/>
          </w:rPr>
          <w:t xml:space="preserve"> </w:t>
        </w:r>
      </w:sdtContent>
    </w:sdt>
    <w:r w:rsidR="00CA5B8D">
      <w:rPr>
        <w:rStyle w:val="PageNumber"/>
      </w:rPr>
      <w:t xml:space="preserve"> </w:t>
    </w:r>
    <w:r w:rsidR="00CA5B8D">
      <w:rPr>
        <w:rStyle w:val="PageNumber"/>
      </w:rPr>
      <w:sym w:font="Symbol" w:char="F07C"/>
    </w:r>
    <w:r w:rsidR="00CA5B8D">
      <w:rPr>
        <w:rStyle w:val="PageNumber"/>
      </w:rPr>
      <w:t xml:space="preserve"> </w:t>
    </w:r>
    <w:sdt>
      <w:sdtPr>
        <w:rPr>
          <w:rStyle w:val="PageNumber"/>
        </w:rPr>
        <w:alias w:val="Page Number"/>
        <w:tag w:val="TxtPageNumber"/>
        <w:id w:val="-632567897"/>
        <w:lock w:val="sdtLocked"/>
      </w:sdtPr>
      <w:sdtEndPr>
        <w:rPr>
          <w:rStyle w:val="DefaultParagraphFont"/>
          <w:b w:val="0"/>
        </w:rPr>
      </w:sdtEndPr>
      <w:sdtContent>
        <w:r w:rsidR="00CA5B8D" w:rsidRPr="00CC3749">
          <w:rPr>
            <w:rStyle w:val="PageNumber"/>
          </w:rPr>
          <w:fldChar w:fldCharType="begin"/>
        </w:r>
        <w:r w:rsidR="00CA5B8D" w:rsidRPr="00CC3749">
          <w:rPr>
            <w:rStyle w:val="PageNumber"/>
          </w:rPr>
          <w:instrText xml:space="preserve"> PAGE   \* MERGEFORMAT </w:instrText>
        </w:r>
        <w:r w:rsidR="00CA5B8D" w:rsidRPr="00CC3749">
          <w:rPr>
            <w:rStyle w:val="PageNumber"/>
          </w:rPr>
          <w:fldChar w:fldCharType="separate"/>
        </w:r>
        <w:r w:rsidR="00CA5B8D">
          <w:rPr>
            <w:rStyle w:val="PageNumber"/>
            <w:noProof/>
          </w:rPr>
          <w:t>1</w:t>
        </w:r>
        <w:r w:rsidR="00CA5B8D" w:rsidRPr="00CC3749">
          <w:rPr>
            <w:rStyle w:val="PageNumber"/>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E5DF2" w14:textId="77777777" w:rsidR="00802DDB" w:rsidRDefault="00802D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3DC7F" w14:textId="0CD14906" w:rsidR="00CA5B8D" w:rsidRDefault="008D0BBE" w:rsidP="004E100F">
    <w:pPr>
      <w:pStyle w:val="Header"/>
    </w:pPr>
    <w:sdt>
      <w:sdtPr>
        <w:rPr>
          <w:rStyle w:val="PageNumber"/>
        </w:rPr>
        <w:alias w:val="Page Number"/>
        <w:tag w:val="TxtPageNumber"/>
        <w:id w:val="-1835755985"/>
        <w:lock w:val="sdtLocked"/>
      </w:sdtPr>
      <w:sdtEndPr>
        <w:rPr>
          <w:rStyle w:val="DefaultParagraphFont"/>
          <w:b w:val="0"/>
        </w:rPr>
      </w:sdtEndPr>
      <w:sdtContent>
        <w:r w:rsidR="00CA5B8D" w:rsidRPr="00CC3749">
          <w:rPr>
            <w:rStyle w:val="PageNumber"/>
          </w:rPr>
          <w:fldChar w:fldCharType="begin"/>
        </w:r>
        <w:r w:rsidR="00CA5B8D" w:rsidRPr="00CC3749">
          <w:rPr>
            <w:rStyle w:val="PageNumber"/>
          </w:rPr>
          <w:instrText xml:space="preserve"> PAGE   \* MERGEFORMAT </w:instrText>
        </w:r>
        <w:r w:rsidR="00CA5B8D" w:rsidRPr="00CC3749">
          <w:rPr>
            <w:rStyle w:val="PageNumber"/>
          </w:rPr>
          <w:fldChar w:fldCharType="separate"/>
        </w:r>
        <w:r>
          <w:rPr>
            <w:rStyle w:val="PageNumber"/>
            <w:noProof/>
          </w:rPr>
          <w:t>2</w:t>
        </w:r>
        <w:r w:rsidR="00CA5B8D" w:rsidRPr="00CC3749">
          <w:rPr>
            <w:rStyle w:val="PageNumber"/>
            <w:noProof/>
          </w:rPr>
          <w:fldChar w:fldCharType="end"/>
        </w:r>
      </w:sdtContent>
    </w:sdt>
    <w:r w:rsidR="00CA5B8D">
      <w:t xml:space="preserve"> </w:t>
    </w:r>
    <w:r w:rsidR="00CA5B8D">
      <w:sym w:font="Symbol" w:char="F07C"/>
    </w:r>
    <w:r w:rsidR="00CA5B8D">
      <w:t xml:space="preserve"> </w:t>
    </w:r>
    <w:sdt>
      <w:sdtPr>
        <w:rPr>
          <w:rStyle w:val="HeaderTitle"/>
        </w:rPr>
        <w:alias w:val="Cote/Chapter"/>
        <w:tag w:val="txtHeaderValue"/>
        <w:id w:val="-308635562"/>
        <w:lock w:val="sdtLocked"/>
      </w:sdtPr>
      <w:sdtEndPr>
        <w:rPr>
          <w:rStyle w:val="DefaultParagraphFont"/>
          <w:caps w:val="0"/>
          <w:sz w:val="22"/>
        </w:rPr>
      </w:sdtEndPr>
      <w:sdtContent>
        <w:r w:rsidR="00CA5B8D">
          <w:rPr>
            <w:rStyle w:val="HeaderTitle"/>
          </w:rPr>
          <w:t xml:space="preserve"> </w:t>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E4B4A" w14:textId="51647688" w:rsidR="00CA5B8D" w:rsidRDefault="008D0BBE" w:rsidP="004E100F">
    <w:pPr>
      <w:pStyle w:val="Header"/>
      <w:jc w:val="right"/>
    </w:pPr>
    <w:sdt>
      <w:sdtPr>
        <w:rPr>
          <w:rStyle w:val="HeaderTitle"/>
        </w:rPr>
        <w:alias w:val="Cote/Chapter"/>
        <w:tag w:val="txtHeaderValue"/>
        <w:id w:val="-244348000"/>
        <w:lock w:val="sdtLocked"/>
      </w:sdtPr>
      <w:sdtEndPr>
        <w:rPr>
          <w:rStyle w:val="DefaultParagraphFont"/>
          <w:caps w:val="0"/>
          <w:sz w:val="22"/>
        </w:rPr>
      </w:sdtEndPr>
      <w:sdtContent>
        <w:r w:rsidR="00CA5B8D">
          <w:rPr>
            <w:rStyle w:val="HeaderTitle"/>
          </w:rPr>
          <w:t xml:space="preserve"> </w:t>
        </w:r>
      </w:sdtContent>
    </w:sdt>
    <w:r w:rsidR="00CA5B8D">
      <w:rPr>
        <w:rStyle w:val="PageNumber"/>
      </w:rPr>
      <w:t xml:space="preserve"> </w:t>
    </w:r>
    <w:r w:rsidR="00CA5B8D">
      <w:rPr>
        <w:rStyle w:val="PageNumber"/>
      </w:rPr>
      <w:sym w:font="Symbol" w:char="F07C"/>
    </w:r>
    <w:r w:rsidR="00CA5B8D">
      <w:rPr>
        <w:rStyle w:val="PageNumber"/>
      </w:rPr>
      <w:t xml:space="preserve"> </w:t>
    </w:r>
    <w:sdt>
      <w:sdtPr>
        <w:rPr>
          <w:rStyle w:val="PageNumber"/>
        </w:rPr>
        <w:alias w:val="Page Number"/>
        <w:tag w:val="TxtPageNumber"/>
        <w:id w:val="1076251128"/>
        <w:lock w:val="sdtLocked"/>
      </w:sdtPr>
      <w:sdtEndPr>
        <w:rPr>
          <w:rStyle w:val="DefaultParagraphFont"/>
          <w:b w:val="0"/>
        </w:rPr>
      </w:sdtEndPr>
      <w:sdtContent>
        <w:r w:rsidR="00CA5B8D" w:rsidRPr="00CC3749">
          <w:rPr>
            <w:rStyle w:val="PageNumber"/>
          </w:rPr>
          <w:fldChar w:fldCharType="begin"/>
        </w:r>
        <w:r w:rsidR="00CA5B8D" w:rsidRPr="00CC3749">
          <w:rPr>
            <w:rStyle w:val="PageNumber"/>
          </w:rPr>
          <w:instrText xml:space="preserve"> PAGE   \* MERGEFORMAT </w:instrText>
        </w:r>
        <w:r w:rsidR="00CA5B8D" w:rsidRPr="00CC3749">
          <w:rPr>
            <w:rStyle w:val="PageNumber"/>
          </w:rPr>
          <w:fldChar w:fldCharType="separate"/>
        </w:r>
        <w:r>
          <w:rPr>
            <w:rStyle w:val="PageNumber"/>
            <w:noProof/>
          </w:rPr>
          <w:t>105</w:t>
        </w:r>
        <w:r w:rsidR="00CA5B8D" w:rsidRPr="00CC3749">
          <w:rPr>
            <w:rStyle w:val="PageNumbe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67A51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6D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5C0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02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56EC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5A3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684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5827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8ABA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1CB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725679"/>
    <w:multiLevelType w:val="hybridMultilevel"/>
    <w:tmpl w:val="D37E30E0"/>
    <w:lvl w:ilvl="0" w:tplc="771E15FA">
      <w:start w:val="1"/>
      <w:numFmt w:val="bullet"/>
      <w:lvlText w:val="o"/>
      <w:lvlJc w:val="left"/>
      <w:pPr>
        <w:tabs>
          <w:tab w:val="num" w:pos="340"/>
        </w:tabs>
        <w:ind w:left="1701" w:hanging="340"/>
      </w:pPr>
      <w:rPr>
        <w:rFonts w:ascii="Courier New" w:hAnsi="Courier New" w:hint="default"/>
      </w:rPr>
    </w:lvl>
    <w:lvl w:ilvl="1" w:tplc="8D94EB20">
      <w:start w:val="1"/>
      <w:numFmt w:val="bullet"/>
      <w:lvlText w:val="˗"/>
      <w:lvlJc w:val="left"/>
      <w:pPr>
        <w:tabs>
          <w:tab w:val="num" w:pos="340"/>
        </w:tabs>
        <w:ind w:left="2041" w:hanging="340"/>
      </w:pPr>
      <w:rPr>
        <w:rFonts w:ascii="Times New Roman" w:hAnsi="Times New Roman" w:cs="Times New Roman"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E4F1E7E"/>
    <w:multiLevelType w:val="hybridMultilevel"/>
    <w:tmpl w:val="3458641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17A725E9"/>
    <w:multiLevelType w:val="hybridMultilevel"/>
    <w:tmpl w:val="BDD8B256"/>
    <w:lvl w:ilvl="0" w:tplc="74F423D6">
      <w:start w:val="1"/>
      <w:numFmt w:val="lowerLetter"/>
      <w:pStyle w:val="ProposedAction"/>
      <w:lvlText w:val="%1)"/>
      <w:lvlJc w:val="left"/>
      <w:pPr>
        <w:ind w:left="1400" w:hanging="360"/>
      </w:pPr>
    </w:lvl>
    <w:lvl w:ilvl="1" w:tplc="D7206700">
      <w:start w:val="1"/>
      <w:numFmt w:val="lowerRoman"/>
      <w:lvlText w:val="%2)"/>
      <w:lvlJc w:val="left"/>
      <w:pPr>
        <w:tabs>
          <w:tab w:val="num" w:pos="567"/>
        </w:tabs>
        <w:ind w:left="2835" w:hanging="567"/>
      </w:pPr>
      <w:rPr>
        <w:rFonts w:hint="default"/>
      </w:rPr>
    </w:lvl>
    <w:lvl w:ilvl="2" w:tplc="F77E56A6">
      <w:start w:val="1"/>
      <w:numFmt w:val="lowerRoman"/>
      <w:lvlText w:val="%3."/>
      <w:lvlJc w:val="right"/>
      <w:pPr>
        <w:ind w:left="4309" w:hanging="487"/>
      </w:pPr>
      <w:rPr>
        <w:rFonts w:hint="default"/>
      </w:rPr>
    </w:lvl>
    <w:lvl w:ilvl="3" w:tplc="6D8AD84E">
      <w:start w:val="1"/>
      <w:numFmt w:val="decimal"/>
      <w:lvlText w:val="%4."/>
      <w:lvlJc w:val="left"/>
      <w:pPr>
        <w:ind w:left="4723" w:hanging="363"/>
      </w:pPr>
      <w:rPr>
        <w:rFonts w:hint="default"/>
      </w:rPr>
    </w:lvl>
    <w:lvl w:ilvl="4" w:tplc="6F2EB210">
      <w:start w:val="1"/>
      <w:numFmt w:val="lowerLetter"/>
      <w:lvlText w:val="%5."/>
      <w:lvlJc w:val="left"/>
      <w:pPr>
        <w:ind w:left="5443" w:hanging="363"/>
      </w:pPr>
      <w:rPr>
        <w:rFonts w:hint="default"/>
      </w:rPr>
    </w:lvl>
    <w:lvl w:ilvl="5" w:tplc="054A5176">
      <w:start w:val="1"/>
      <w:numFmt w:val="lowerRoman"/>
      <w:lvlText w:val="%6."/>
      <w:lvlJc w:val="right"/>
      <w:pPr>
        <w:ind w:left="6163" w:hanging="181"/>
      </w:pPr>
      <w:rPr>
        <w:rFonts w:hint="default"/>
      </w:rPr>
    </w:lvl>
    <w:lvl w:ilvl="6" w:tplc="20105C9A">
      <w:start w:val="1"/>
      <w:numFmt w:val="decimal"/>
      <w:lvlText w:val="%7."/>
      <w:lvlJc w:val="left"/>
      <w:pPr>
        <w:ind w:left="6883" w:hanging="362"/>
      </w:pPr>
      <w:rPr>
        <w:rFonts w:hint="default"/>
      </w:r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3" w15:restartNumberingAfterBreak="0">
    <w:nsid w:val="185E0111"/>
    <w:multiLevelType w:val="hybridMultilevel"/>
    <w:tmpl w:val="45A2C036"/>
    <w:lvl w:ilvl="0" w:tplc="A818341A">
      <w:start w:val="1"/>
      <w:numFmt w:val="bullet"/>
      <w:pStyle w:val="Annotation"/>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990BA3"/>
    <w:multiLevelType w:val="hybridMultilevel"/>
    <w:tmpl w:val="54FE01BE"/>
    <w:lvl w:ilvl="0" w:tplc="771E15FA">
      <w:start w:val="1"/>
      <w:numFmt w:val="bullet"/>
      <w:lvlText w:val="o"/>
      <w:lvlJc w:val="left"/>
      <w:pPr>
        <w:tabs>
          <w:tab w:val="num" w:pos="340"/>
        </w:tabs>
        <w:ind w:left="1701" w:hanging="340"/>
      </w:pPr>
      <w:rPr>
        <w:rFonts w:ascii="Courier New" w:hAnsi="Courier New" w:hint="default"/>
      </w:rPr>
    </w:lvl>
    <w:lvl w:ilvl="1" w:tplc="8D94EB20">
      <w:start w:val="1"/>
      <w:numFmt w:val="bullet"/>
      <w:lvlText w:val="˗"/>
      <w:lvlJc w:val="left"/>
      <w:pPr>
        <w:tabs>
          <w:tab w:val="num" w:pos="340"/>
        </w:tabs>
        <w:ind w:left="2041" w:hanging="340"/>
      </w:pPr>
      <w:rPr>
        <w:rFonts w:ascii="Times New Roman" w:hAnsi="Times New Roman" w:cs="Times New Roman" w:hint="default"/>
      </w:rPr>
    </w:lvl>
    <w:lvl w:ilvl="2" w:tplc="07606A6A">
      <w:start w:val="1"/>
      <w:numFmt w:val="bullet"/>
      <w:lvlText w:val="˗"/>
      <w:lvlJc w:val="left"/>
      <w:pPr>
        <w:tabs>
          <w:tab w:val="num" w:pos="340"/>
        </w:tabs>
        <w:ind w:left="2381" w:hanging="340"/>
      </w:pPr>
      <w:rPr>
        <w:rFonts w:ascii="Times New Roman" w:hAnsi="Times New Roman" w:cs="Times New Roman" w:hint="default"/>
      </w:rPr>
    </w:lvl>
    <w:lvl w:ilvl="3" w:tplc="EC68E518">
      <w:start w:val="1"/>
      <w:numFmt w:val="bullet"/>
      <w:lvlText w:val="˗"/>
      <w:lvlJc w:val="left"/>
      <w:pPr>
        <w:tabs>
          <w:tab w:val="num" w:pos="340"/>
        </w:tabs>
        <w:ind w:left="2722" w:hanging="341"/>
      </w:pPr>
      <w:rPr>
        <w:rFonts w:ascii="Times New Roman" w:hAnsi="Times New Roman" w:cs="Times New Roman"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AC22F55"/>
    <w:multiLevelType w:val="hybridMultilevel"/>
    <w:tmpl w:val="1286179C"/>
    <w:lvl w:ilvl="0" w:tplc="4E0A59D2">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6" w15:restartNumberingAfterBreak="0">
    <w:nsid w:val="1D383289"/>
    <w:multiLevelType w:val="hybridMultilevel"/>
    <w:tmpl w:val="74D6B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8104E0"/>
    <w:multiLevelType w:val="multilevel"/>
    <w:tmpl w:val="C1988390"/>
    <w:lvl w:ilvl="0">
      <w:start w:val="1"/>
      <w:numFmt w:val="decimal"/>
      <w:lvlText w:val="%1"/>
      <w:lvlJc w:val="left"/>
      <w:pPr>
        <w:ind w:left="432" w:hanging="432"/>
      </w:pPr>
      <w:rPr>
        <w:rFonts w:cs="Times New Roman"/>
      </w:rPr>
    </w:lvl>
    <w:lvl w:ilvl="1">
      <w:start w:val="1"/>
      <w:numFmt w:val="decimal"/>
      <w:lvlText w:val="%1.%2"/>
      <w:lvlJc w:val="left"/>
      <w:pPr>
        <w:ind w:left="1993"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15:restartNumberingAfterBreak="0">
    <w:nsid w:val="21FC7635"/>
    <w:multiLevelType w:val="hybridMultilevel"/>
    <w:tmpl w:val="33F0D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5745E7"/>
    <w:multiLevelType w:val="hybridMultilevel"/>
    <w:tmpl w:val="3F144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FC1975"/>
    <w:multiLevelType w:val="hybridMultilevel"/>
    <w:tmpl w:val="0A1C45C2"/>
    <w:lvl w:ilvl="0" w:tplc="311A43F8">
      <w:start w:val="1"/>
      <w:numFmt w:val="decimal"/>
      <w:lvlText w:val="%1."/>
      <w:lvlJc w:val="left"/>
      <w:pPr>
        <w:ind w:left="1361" w:hanging="340"/>
      </w:pPr>
      <w:rPr>
        <w:rFonts w:hint="default"/>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1" w15:restartNumberingAfterBreak="0">
    <w:nsid w:val="25A1521B"/>
    <w:multiLevelType w:val="hybridMultilevel"/>
    <w:tmpl w:val="EE9C8232"/>
    <w:lvl w:ilvl="0" w:tplc="18EA0DCE">
      <w:start w:val="1"/>
      <w:numFmt w:val="decimal"/>
      <w:pStyle w:val="Para"/>
      <w:lvlText w:val="%1."/>
      <w:lvlJc w:val="left"/>
      <w:pPr>
        <w:tabs>
          <w:tab w:val="num" w:pos="720"/>
        </w:tabs>
        <w:ind w:left="0" w:firstLine="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2" w15:restartNumberingAfterBreak="0">
    <w:nsid w:val="26374427"/>
    <w:multiLevelType w:val="hybridMultilevel"/>
    <w:tmpl w:val="B27A7A4C"/>
    <w:lvl w:ilvl="0" w:tplc="1409000F">
      <w:start w:val="1"/>
      <w:numFmt w:val="decimal"/>
      <w:lvlText w:val="%1."/>
      <w:lvlJc w:val="left"/>
      <w:pPr>
        <w:ind w:left="1400" w:hanging="360"/>
      </w:pPr>
    </w:lvl>
    <w:lvl w:ilvl="1" w:tplc="14090019" w:tentative="1">
      <w:start w:val="1"/>
      <w:numFmt w:val="lowerLetter"/>
      <w:lvlText w:val="%2."/>
      <w:lvlJc w:val="left"/>
      <w:pPr>
        <w:ind w:left="2120" w:hanging="360"/>
      </w:pPr>
    </w:lvl>
    <w:lvl w:ilvl="2" w:tplc="1409001B" w:tentative="1">
      <w:start w:val="1"/>
      <w:numFmt w:val="lowerRoman"/>
      <w:lvlText w:val="%3."/>
      <w:lvlJc w:val="right"/>
      <w:pPr>
        <w:ind w:left="2840" w:hanging="180"/>
      </w:pPr>
    </w:lvl>
    <w:lvl w:ilvl="3" w:tplc="1409000F" w:tentative="1">
      <w:start w:val="1"/>
      <w:numFmt w:val="decimal"/>
      <w:lvlText w:val="%4."/>
      <w:lvlJc w:val="left"/>
      <w:pPr>
        <w:ind w:left="3560" w:hanging="360"/>
      </w:pPr>
    </w:lvl>
    <w:lvl w:ilvl="4" w:tplc="14090019" w:tentative="1">
      <w:start w:val="1"/>
      <w:numFmt w:val="lowerLetter"/>
      <w:lvlText w:val="%5."/>
      <w:lvlJc w:val="left"/>
      <w:pPr>
        <w:ind w:left="4280" w:hanging="360"/>
      </w:pPr>
    </w:lvl>
    <w:lvl w:ilvl="5" w:tplc="1409001B" w:tentative="1">
      <w:start w:val="1"/>
      <w:numFmt w:val="lowerRoman"/>
      <w:lvlText w:val="%6."/>
      <w:lvlJc w:val="right"/>
      <w:pPr>
        <w:ind w:left="5000" w:hanging="180"/>
      </w:pPr>
    </w:lvl>
    <w:lvl w:ilvl="6" w:tplc="1409000F" w:tentative="1">
      <w:start w:val="1"/>
      <w:numFmt w:val="decimal"/>
      <w:lvlText w:val="%7."/>
      <w:lvlJc w:val="left"/>
      <w:pPr>
        <w:ind w:left="5720" w:hanging="360"/>
      </w:pPr>
    </w:lvl>
    <w:lvl w:ilvl="7" w:tplc="14090019" w:tentative="1">
      <w:start w:val="1"/>
      <w:numFmt w:val="lowerLetter"/>
      <w:lvlText w:val="%8."/>
      <w:lvlJc w:val="left"/>
      <w:pPr>
        <w:ind w:left="6440" w:hanging="360"/>
      </w:pPr>
    </w:lvl>
    <w:lvl w:ilvl="8" w:tplc="1409001B" w:tentative="1">
      <w:start w:val="1"/>
      <w:numFmt w:val="lowerRoman"/>
      <w:lvlText w:val="%9."/>
      <w:lvlJc w:val="right"/>
      <w:pPr>
        <w:ind w:left="7160" w:hanging="180"/>
      </w:pPr>
    </w:lvl>
  </w:abstractNum>
  <w:abstractNum w:abstractNumId="23" w15:restartNumberingAfterBreak="0">
    <w:nsid w:val="2E7E516C"/>
    <w:multiLevelType w:val="hybridMultilevel"/>
    <w:tmpl w:val="74D0EBBE"/>
    <w:lvl w:ilvl="0" w:tplc="6EF66F78">
      <w:start w:val="1"/>
      <w:numFmt w:val="decimal"/>
      <w:pStyle w:val="NumberedList"/>
      <w:lvlText w:val="%1."/>
      <w:lvlJc w:val="left"/>
      <w:pPr>
        <w:ind w:left="680" w:hanging="340"/>
      </w:pPr>
      <w:rPr>
        <w:rFonts w:hint="default"/>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34C325D"/>
    <w:multiLevelType w:val="hybridMultilevel"/>
    <w:tmpl w:val="990E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447F02"/>
    <w:multiLevelType w:val="multilevel"/>
    <w:tmpl w:val="35AC7562"/>
    <w:lvl w:ilvl="0">
      <w:start w:val="1"/>
      <w:numFmt w:val="decimalZero"/>
      <w:suff w:val="space"/>
      <w:lvlText w:val=" %1"/>
      <w:lvlJc w:val="left"/>
      <w:pPr>
        <w:ind w:left="1418" w:hanging="1418"/>
      </w:pPr>
      <w:rPr>
        <w:rFonts w:ascii="Impact" w:hAnsi="Impact" w:hint="default"/>
        <w:w w:val="150"/>
        <w:sz w:val="130"/>
        <w:u w:val="thick"/>
      </w:rPr>
    </w:lvl>
    <w:lvl w:ilvl="1">
      <w:start w:val="1"/>
      <w:numFmt w:val="none"/>
      <w:suff w:val="nothing"/>
      <w:lvlText w:val=""/>
      <w:lvlJc w:val="left"/>
      <w:pPr>
        <w:ind w:left="0" w:firstLine="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851" w:firstLine="0"/>
      </w:pPr>
      <w:rPr>
        <w:rFonts w:hint="default"/>
      </w:rPr>
    </w:lvl>
    <w:lvl w:ilvl="5">
      <w:start w:val="1"/>
      <w:numFmt w:val="decimal"/>
      <w:lvlRestart w:val="0"/>
      <w:suff w:val="space"/>
      <w:lvlText w:val="Part %6."/>
      <w:lvlJc w:val="left"/>
      <w:pPr>
        <w:ind w:left="0" w:firstLine="0"/>
      </w:pPr>
      <w:rPr>
        <w:rFonts w:hint="default"/>
      </w:rPr>
    </w:lvl>
    <w:lvl w:ilvl="6">
      <w:start w:val="1"/>
      <w:numFmt w:val="upperLetter"/>
      <w:lvlRestart w:val="0"/>
      <w:suff w:val="space"/>
      <w:lvlText w:val="Annex %7."/>
      <w:lvlJc w:val="left"/>
      <w:pPr>
        <w:ind w:left="0" w:firstLine="0"/>
      </w:pPr>
      <w:rPr>
        <w:rFonts w:hint="default"/>
      </w:rPr>
    </w:lvl>
    <w:lvl w:ilvl="7">
      <w:start w:val="1"/>
      <w:numFmt w:val="upperLetter"/>
      <w:lvlRestart w:val="6"/>
      <w:suff w:val="space"/>
      <w:lvlText w:val="Annex %6.%8."/>
      <w:lvlJc w:val="left"/>
      <w:pPr>
        <w:ind w:left="0" w:firstLine="0"/>
      </w:pPr>
      <w:rPr>
        <w:rFonts w:hint="default"/>
      </w:rPr>
    </w:lvl>
    <w:lvl w:ilvl="8">
      <w:start w:val="1"/>
      <w:numFmt w:val="upperLetter"/>
      <w:lvlRestart w:val="1"/>
      <w:suff w:val="space"/>
      <w:lvlText w:val="Annex %1.%9."/>
      <w:lvlJc w:val="left"/>
      <w:pPr>
        <w:ind w:left="0" w:firstLine="0"/>
      </w:pPr>
      <w:rPr>
        <w:rFonts w:hint="default"/>
      </w:rPr>
    </w:lvl>
  </w:abstractNum>
  <w:abstractNum w:abstractNumId="26" w15:restartNumberingAfterBreak="0">
    <w:nsid w:val="408D2A51"/>
    <w:multiLevelType w:val="hybridMultilevel"/>
    <w:tmpl w:val="8DF8D546"/>
    <w:lvl w:ilvl="0" w:tplc="6CEACD90">
      <w:start w:val="1"/>
      <w:numFmt w:val="bullet"/>
      <w:pStyle w:val="GroupHeading"/>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131547"/>
    <w:multiLevelType w:val="hybridMultilevel"/>
    <w:tmpl w:val="F740F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5F566E"/>
    <w:multiLevelType w:val="multilevel"/>
    <w:tmpl w:val="6EE6DD4E"/>
    <w:lvl w:ilvl="0">
      <w:start w:val="1"/>
      <w:numFmt w:val="decimal"/>
      <w:pStyle w:val="Heading1"/>
      <w:suff w:val="space"/>
      <w:lvlText w:val="%1"/>
      <w:lvlJc w:val="left"/>
      <w:pPr>
        <w:ind w:left="1247" w:hanging="1134"/>
      </w:pPr>
      <w:rPr>
        <w:rFonts w:asciiTheme="majorHAnsi" w:hAnsiTheme="majorHAnsi" w:hint="default"/>
        <w:w w:val="100"/>
        <w:sz w:val="130"/>
        <w:u w:val="thick"/>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340" w:firstLine="0"/>
      </w:pPr>
      <w:rPr>
        <w:rFonts w:hint="default"/>
      </w:rPr>
    </w:lvl>
    <w:lvl w:ilvl="4">
      <w:start w:val="1"/>
      <w:numFmt w:val="none"/>
      <w:pStyle w:val="Heading5"/>
      <w:suff w:val="nothing"/>
      <w:lvlText w:val=""/>
      <w:lvlJc w:val="left"/>
      <w:pPr>
        <w:ind w:left="680" w:firstLine="0"/>
      </w:pPr>
      <w:rPr>
        <w:rFonts w:hint="default"/>
      </w:rPr>
    </w:lvl>
    <w:lvl w:ilvl="5">
      <w:start w:val="1"/>
      <w:numFmt w:val="upperRoman"/>
      <w:lvlRestart w:val="0"/>
      <w:pStyle w:val="Heading6"/>
      <w:suff w:val="space"/>
      <w:lvlText w:val="Part %6"/>
      <w:lvlJc w:val="left"/>
      <w:pPr>
        <w:ind w:left="0" w:firstLine="0"/>
      </w:pPr>
      <w:rPr>
        <w:rFonts w:asciiTheme="majorHAnsi" w:hAnsiTheme="majorHAnsi" w:hint="default"/>
        <w:sz w:val="96"/>
      </w:rPr>
    </w:lvl>
    <w:lvl w:ilvl="6">
      <w:start w:val="1"/>
      <w:numFmt w:val="upperLetter"/>
      <w:lvlRestart w:val="0"/>
      <w:pStyle w:val="Heading7"/>
      <w:suff w:val="space"/>
      <w:lvlText w:val="Annex %7."/>
      <w:lvlJc w:val="left"/>
      <w:pPr>
        <w:ind w:left="0" w:firstLine="0"/>
      </w:pPr>
      <w:rPr>
        <w:rFonts w:asciiTheme="majorHAnsi" w:hAnsiTheme="majorHAnsi" w:hint="default"/>
      </w:rPr>
    </w:lvl>
    <w:lvl w:ilvl="7">
      <w:start w:val="1"/>
      <w:numFmt w:val="upperLetter"/>
      <w:lvlRestart w:val="6"/>
      <w:pStyle w:val="Heading8"/>
      <w:suff w:val="space"/>
      <w:lvlText w:val="Annex %6.%8."/>
      <w:lvlJc w:val="left"/>
      <w:pPr>
        <w:ind w:left="0" w:firstLine="0"/>
      </w:pPr>
      <w:rPr>
        <w:rFonts w:asciiTheme="majorHAnsi" w:hAnsiTheme="majorHAnsi" w:hint="default"/>
      </w:rPr>
    </w:lvl>
    <w:lvl w:ilvl="8">
      <w:start w:val="1"/>
      <w:numFmt w:val="upperLetter"/>
      <w:lvlRestart w:val="1"/>
      <w:pStyle w:val="Heading9"/>
      <w:suff w:val="space"/>
      <w:lvlText w:val="Annex %1.%9."/>
      <w:lvlJc w:val="left"/>
      <w:pPr>
        <w:ind w:left="0" w:firstLine="0"/>
      </w:pPr>
      <w:rPr>
        <w:rFonts w:asciiTheme="majorHAnsi" w:hAnsiTheme="majorHAnsi" w:hint="default"/>
      </w:rPr>
    </w:lvl>
  </w:abstractNum>
  <w:abstractNum w:abstractNumId="29" w15:restartNumberingAfterBreak="0">
    <w:nsid w:val="5176726A"/>
    <w:multiLevelType w:val="hybridMultilevel"/>
    <w:tmpl w:val="79729880"/>
    <w:lvl w:ilvl="0" w:tplc="D9AAEAE0">
      <w:start w:val="1"/>
      <w:numFmt w:val="bullet"/>
      <w:pStyle w:val="BulletedList"/>
      <w:lvlText w:val=""/>
      <w:lvlJc w:val="left"/>
      <w:pPr>
        <w:ind w:left="680" w:hanging="340"/>
      </w:pPr>
      <w:rPr>
        <w:rFonts w:ascii="Symbol" w:hAnsi="Symbol" w:hint="default"/>
        <w:color w:val="4E81BD" w:themeColor="accent1"/>
      </w:rPr>
    </w:lvl>
    <w:lvl w:ilvl="1" w:tplc="3DD45682">
      <w:start w:val="1"/>
      <w:numFmt w:val="bullet"/>
      <w:lvlText w:val="o"/>
      <w:lvlJc w:val="left"/>
      <w:pPr>
        <w:tabs>
          <w:tab w:val="num" w:pos="680"/>
        </w:tabs>
        <w:ind w:left="1021" w:hanging="341"/>
      </w:pPr>
      <w:rPr>
        <w:rFonts w:ascii="Courier New" w:hAnsi="Courier New" w:hint="default"/>
      </w:rPr>
    </w:lvl>
    <w:lvl w:ilvl="2" w:tplc="75A6C844">
      <w:start w:val="1"/>
      <w:numFmt w:val="bullet"/>
      <w:lvlText w:val="‒"/>
      <w:lvlJc w:val="left"/>
      <w:pPr>
        <w:tabs>
          <w:tab w:val="num" w:pos="1021"/>
        </w:tabs>
        <w:ind w:left="1361" w:hanging="340"/>
      </w:pPr>
      <w:rPr>
        <w:rFonts w:ascii="Calibri" w:hAnsi="Calibri" w:hint="default"/>
      </w:rPr>
    </w:lvl>
    <w:lvl w:ilvl="3" w:tplc="DDBC079E">
      <w:start w:val="1"/>
      <w:numFmt w:val="bullet"/>
      <w:lvlText w:val="‒"/>
      <w:lvlJc w:val="left"/>
      <w:pPr>
        <w:tabs>
          <w:tab w:val="num" w:pos="1361"/>
        </w:tabs>
        <w:ind w:left="1701" w:hanging="340"/>
      </w:pPr>
      <w:rPr>
        <w:rFonts w:ascii="Calibri" w:hAnsi="Calibri" w:hint="default"/>
      </w:rPr>
    </w:lvl>
    <w:lvl w:ilvl="4" w:tplc="FA7AE4F4">
      <w:start w:val="1"/>
      <w:numFmt w:val="bullet"/>
      <w:lvlText w:val="‒"/>
      <w:lvlJc w:val="left"/>
      <w:pPr>
        <w:tabs>
          <w:tab w:val="num" w:pos="1701"/>
        </w:tabs>
        <w:ind w:left="2041" w:hanging="340"/>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15:restartNumberingAfterBreak="0">
    <w:nsid w:val="521D7452"/>
    <w:multiLevelType w:val="hybridMultilevel"/>
    <w:tmpl w:val="27C65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5D6871"/>
    <w:multiLevelType w:val="hybridMultilevel"/>
    <w:tmpl w:val="4D08B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3A50FE"/>
    <w:multiLevelType w:val="hybridMultilevel"/>
    <w:tmpl w:val="266A1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5254DB"/>
    <w:multiLevelType w:val="hybridMultilevel"/>
    <w:tmpl w:val="79F6501C"/>
    <w:lvl w:ilvl="0" w:tplc="771E15FA">
      <w:start w:val="1"/>
      <w:numFmt w:val="bullet"/>
      <w:lvlText w:val="o"/>
      <w:lvlJc w:val="left"/>
      <w:pPr>
        <w:tabs>
          <w:tab w:val="num" w:pos="340"/>
        </w:tabs>
        <w:ind w:left="1701" w:hanging="340"/>
      </w:pPr>
      <w:rPr>
        <w:rFonts w:ascii="Courier New" w:hAnsi="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2F45184"/>
    <w:multiLevelType w:val="hybridMultilevel"/>
    <w:tmpl w:val="DA6A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5C5AB7"/>
    <w:multiLevelType w:val="hybridMultilevel"/>
    <w:tmpl w:val="7548BF20"/>
    <w:lvl w:ilvl="0" w:tplc="37F2CDEC">
      <w:start w:val="1"/>
      <w:numFmt w:val="bullet"/>
      <w:lvlText w:val=""/>
      <w:lvlJc w:val="left"/>
      <w:pPr>
        <w:tabs>
          <w:tab w:val="num" w:pos="340"/>
        </w:tabs>
        <w:ind w:left="1361" w:hanging="340"/>
      </w:pPr>
      <w:rPr>
        <w:rFonts w:ascii="Symbol" w:hAnsi="Symbol" w:hint="default"/>
      </w:rPr>
    </w:lvl>
    <w:lvl w:ilvl="1" w:tplc="5D76F430">
      <w:start w:val="1"/>
      <w:numFmt w:val="bullet"/>
      <w:lvlText w:val="o"/>
      <w:lvlJc w:val="left"/>
      <w:pPr>
        <w:tabs>
          <w:tab w:val="num" w:pos="340"/>
        </w:tabs>
        <w:ind w:left="1701" w:hanging="340"/>
      </w:pPr>
      <w:rPr>
        <w:rFonts w:ascii="Courier New" w:hAnsi="Courier New" w:hint="default"/>
      </w:rPr>
    </w:lvl>
    <w:lvl w:ilvl="2" w:tplc="F6E2001C">
      <w:start w:val="1"/>
      <w:numFmt w:val="bullet"/>
      <w:lvlText w:val="˗"/>
      <w:lvlJc w:val="left"/>
      <w:pPr>
        <w:tabs>
          <w:tab w:val="num" w:pos="340"/>
        </w:tabs>
        <w:ind w:left="2041" w:hanging="340"/>
      </w:pPr>
      <w:rPr>
        <w:rFonts w:ascii="Times New Roman" w:hAnsi="Times New Roman" w:cs="Times New Roman" w:hint="default"/>
      </w:rPr>
    </w:lvl>
    <w:lvl w:ilvl="3" w:tplc="FD7E6002">
      <w:start w:val="1"/>
      <w:numFmt w:val="bullet"/>
      <w:lvlText w:val="˗"/>
      <w:lvlJc w:val="left"/>
      <w:pPr>
        <w:tabs>
          <w:tab w:val="num" w:pos="340"/>
        </w:tabs>
        <w:ind w:left="2381" w:hanging="340"/>
      </w:pPr>
      <w:rPr>
        <w:rFonts w:ascii="Times New Roman" w:hAnsi="Times New Roman" w:cs="Times New Roman" w:hint="default"/>
      </w:rPr>
    </w:lvl>
    <w:lvl w:ilvl="4" w:tplc="B6D4948C">
      <w:start w:val="1"/>
      <w:numFmt w:val="bullet"/>
      <w:lvlText w:val="˗"/>
      <w:lvlJc w:val="left"/>
      <w:pPr>
        <w:tabs>
          <w:tab w:val="num" w:pos="340"/>
        </w:tabs>
        <w:ind w:left="2722" w:hanging="341"/>
      </w:pPr>
      <w:rPr>
        <w:rFonts w:ascii="Times New Roman" w:hAnsi="Times New Roman" w:cs="Times New Roman"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D4460C7"/>
    <w:multiLevelType w:val="hybridMultilevel"/>
    <w:tmpl w:val="161A4496"/>
    <w:lvl w:ilvl="0" w:tplc="37F2CDEC">
      <w:start w:val="1"/>
      <w:numFmt w:val="bullet"/>
      <w:lvlText w:val=""/>
      <w:lvlJc w:val="left"/>
      <w:pPr>
        <w:tabs>
          <w:tab w:val="num" w:pos="340"/>
        </w:tabs>
        <w:ind w:left="1361" w:hanging="340"/>
      </w:pPr>
      <w:rPr>
        <w:rFonts w:ascii="Symbol" w:hAnsi="Symbol" w:hint="default"/>
      </w:rPr>
    </w:lvl>
    <w:lvl w:ilvl="1" w:tplc="5D76F430">
      <w:start w:val="1"/>
      <w:numFmt w:val="bullet"/>
      <w:lvlText w:val="o"/>
      <w:lvlJc w:val="left"/>
      <w:pPr>
        <w:tabs>
          <w:tab w:val="num" w:pos="340"/>
        </w:tabs>
        <w:ind w:left="1701" w:hanging="340"/>
      </w:pPr>
      <w:rPr>
        <w:rFonts w:ascii="Courier New" w:hAnsi="Courier New" w:hint="default"/>
      </w:rPr>
    </w:lvl>
    <w:lvl w:ilvl="2" w:tplc="9A82E12C">
      <w:start w:val="1"/>
      <w:numFmt w:val="bullet"/>
      <w:lvlText w:val="˗"/>
      <w:lvlJc w:val="left"/>
      <w:pPr>
        <w:tabs>
          <w:tab w:val="num" w:pos="340"/>
        </w:tabs>
        <w:ind w:left="2041" w:hanging="340"/>
      </w:pPr>
      <w:rPr>
        <w:rFonts w:ascii="Times New Roman" w:hAnsi="Times New Roman" w:cs="Times New Roman" w:hint="default"/>
      </w:rPr>
    </w:lvl>
    <w:lvl w:ilvl="3" w:tplc="8D94EB20">
      <w:start w:val="1"/>
      <w:numFmt w:val="bullet"/>
      <w:lvlText w:val="˗"/>
      <w:lvlJc w:val="left"/>
      <w:pPr>
        <w:tabs>
          <w:tab w:val="num" w:pos="340"/>
        </w:tabs>
        <w:ind w:left="2381" w:hanging="340"/>
      </w:pPr>
      <w:rPr>
        <w:rFonts w:ascii="Times New Roman" w:hAnsi="Times New Roman" w:cs="Times New Roman" w:hint="default"/>
      </w:rPr>
    </w:lvl>
    <w:lvl w:ilvl="4" w:tplc="0DC21356">
      <w:start w:val="1"/>
      <w:numFmt w:val="bullet"/>
      <w:lvlText w:val="˗"/>
      <w:lvlJc w:val="left"/>
      <w:pPr>
        <w:tabs>
          <w:tab w:val="num" w:pos="340"/>
        </w:tabs>
        <w:ind w:left="2722" w:hanging="341"/>
      </w:pPr>
      <w:rPr>
        <w:rFonts w:ascii="Times New Roman" w:hAnsi="Times New Roman" w:cs="Times New Roman"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3"/>
  </w:num>
  <w:num w:numId="13">
    <w:abstractNumId w:val="35"/>
  </w:num>
  <w:num w:numId="14">
    <w:abstractNumId w:val="35"/>
    <w:lvlOverride w:ilvl="0">
      <w:startOverride w:val="1"/>
    </w:lvlOverride>
  </w:num>
  <w:num w:numId="15">
    <w:abstractNumId w:val="33"/>
  </w:num>
  <w:num w:numId="16">
    <w:abstractNumId w:val="10"/>
  </w:num>
  <w:num w:numId="17">
    <w:abstractNumId w:val="14"/>
  </w:num>
  <w:num w:numId="18">
    <w:abstractNumId w:val="36"/>
  </w:num>
  <w:num w:numId="19">
    <w:abstractNumId w:val="13"/>
  </w:num>
  <w:num w:numId="20">
    <w:abstractNumId w:val="26"/>
  </w:num>
  <w:num w:numId="21">
    <w:abstractNumId w:val="12"/>
  </w:num>
  <w:num w:numId="22">
    <w:abstractNumId w:val="28"/>
  </w:num>
  <w:num w:numId="23">
    <w:abstractNumId w:val="20"/>
  </w:num>
  <w:num w:numId="24">
    <w:abstractNumId w:val="29"/>
  </w:num>
  <w:num w:numId="25">
    <w:abstractNumId w:val="25"/>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num>
  <w:num w:numId="31">
    <w:abstractNumId w:val="2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7"/>
  </w:num>
  <w:num w:numId="37">
    <w:abstractNumId w:val="22"/>
  </w:num>
  <w:num w:numId="38">
    <w:abstractNumId w:val="11"/>
  </w:num>
  <w:num w:numId="39">
    <w:abstractNumId w:val="23"/>
    <w:lvlOverride w:ilvl="0">
      <w:startOverride w:val="1"/>
    </w:lvlOverride>
  </w:num>
  <w:num w:numId="40">
    <w:abstractNumId w:val="34"/>
  </w:num>
  <w:num w:numId="41">
    <w:abstractNumId w:val="24"/>
  </w:num>
  <w:num w:numId="42">
    <w:abstractNumId w:val="27"/>
  </w:num>
  <w:num w:numId="43">
    <w:abstractNumId w:val="18"/>
  </w:num>
  <w:num w:numId="44">
    <w:abstractNumId w:val="19"/>
  </w:num>
  <w:num w:numId="45">
    <w:abstractNumId w:val="32"/>
  </w:num>
  <w:num w:numId="46">
    <w:abstractNumId w:val="31"/>
  </w:num>
  <w:num w:numId="47">
    <w:abstractNumId w:val="30"/>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ttachedTemplate r:id="rId1"/>
  <w:stylePaneSortMethod w:val="0000"/>
  <w:defaultTabStop w:val="720"/>
  <w:evenAndOddHeaders/>
  <w:characterSpacingControl w:val="doNotCompress"/>
  <w:hdrShapeDefaults>
    <o:shapedefaults v:ext="edit" spidmax="8193"/>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ECDDocumentClassification" w:val="Unclassified"/>
    <w:docVar w:name="OECDDocumentContactInfo" w:val="Rowena  Phair, Rowena.Phair@oecd.org"/>
    <w:docVar w:name="OECDDocumentCote" w:val="DOCUMENT CODE"/>
    <w:docVar w:name="OecdDocumentCoteLangHash" w:val="1137AE11EAB68465BDF0533F7579FB415C7CF4CC643914F673A5A3A958D67042"/>
    <w:docVar w:name="OECDDocumentDocumentAbstract" w:val="Information Note: Use this area to provide a brief summary of the document or highlight any important information. This text will be displayed on the document page in O.N.E for Members and Partners."/>
    <w:docVar w:name="OECDDocumentDocumentLanguage" w:val="English text only"/>
    <w:docVar w:name="OECDDocumentId" w:val="2603DF95C6E526E2240BC601895522DDDF053B6C4D12C069DAEF8C76CC1E788C"/>
    <w:docVar w:name="OECDDocumentOriginalLanguage" w:val="English"/>
    <w:docVar w:name="OECDDocumentValidationDate" w:val="02/15/2022 13:27:34"/>
    <w:docVar w:name="OECDDocumentValidationErrors" w:val="1"/>
    <w:docVar w:name="OECDDocumentValidationWarnings" w:val="0"/>
    <w:docVar w:name="OECDDocumentValidationWordCount" w:val="58972"/>
    <w:docVar w:name="OECDKappaEnrichment" w:val="Online"/>
    <w:docVar w:name="OECDTemplateLocation" w:val="W:\Office2016\Workgroup Templates"/>
    <w:docVar w:name="OECDTemplateName" w:val="ONE Author ODPub.dotx"/>
    <w:docVar w:name="OECDTemplateVersion" w:val="3.20"/>
  </w:docVars>
  <w:rsids>
    <w:rsidRoot w:val="006145A3"/>
    <w:rsid w:val="000037D9"/>
    <w:rsid w:val="00004DAB"/>
    <w:rsid w:val="00005E6F"/>
    <w:rsid w:val="000064D6"/>
    <w:rsid w:val="00017230"/>
    <w:rsid w:val="00024178"/>
    <w:rsid w:val="00027D14"/>
    <w:rsid w:val="00030E8C"/>
    <w:rsid w:val="000338B2"/>
    <w:rsid w:val="00033E50"/>
    <w:rsid w:val="000347AC"/>
    <w:rsid w:val="0004402D"/>
    <w:rsid w:val="00044517"/>
    <w:rsid w:val="000454E8"/>
    <w:rsid w:val="0005102C"/>
    <w:rsid w:val="00052575"/>
    <w:rsid w:val="00052588"/>
    <w:rsid w:val="000542B8"/>
    <w:rsid w:val="00055124"/>
    <w:rsid w:val="00055536"/>
    <w:rsid w:val="00064C7A"/>
    <w:rsid w:val="00075A4D"/>
    <w:rsid w:val="0007759B"/>
    <w:rsid w:val="00085197"/>
    <w:rsid w:val="00092C37"/>
    <w:rsid w:val="000A5133"/>
    <w:rsid w:val="000A5D82"/>
    <w:rsid w:val="000A655C"/>
    <w:rsid w:val="000A69AD"/>
    <w:rsid w:val="000B03E2"/>
    <w:rsid w:val="000B5DAB"/>
    <w:rsid w:val="000B6A07"/>
    <w:rsid w:val="000B74AE"/>
    <w:rsid w:val="000B7665"/>
    <w:rsid w:val="000B7B86"/>
    <w:rsid w:val="000C0FE0"/>
    <w:rsid w:val="000C1DF4"/>
    <w:rsid w:val="000C3117"/>
    <w:rsid w:val="000D34F9"/>
    <w:rsid w:val="000D4550"/>
    <w:rsid w:val="000E2815"/>
    <w:rsid w:val="000E5F57"/>
    <w:rsid w:val="000F040F"/>
    <w:rsid w:val="000F68AF"/>
    <w:rsid w:val="00101323"/>
    <w:rsid w:val="00111592"/>
    <w:rsid w:val="00111A19"/>
    <w:rsid w:val="00113C8E"/>
    <w:rsid w:val="001143C6"/>
    <w:rsid w:val="00116E3E"/>
    <w:rsid w:val="0011701E"/>
    <w:rsid w:val="00130B1E"/>
    <w:rsid w:val="001313D9"/>
    <w:rsid w:val="00132E78"/>
    <w:rsid w:val="00137861"/>
    <w:rsid w:val="001438EC"/>
    <w:rsid w:val="00146063"/>
    <w:rsid w:val="0015026C"/>
    <w:rsid w:val="0015065F"/>
    <w:rsid w:val="00151AE5"/>
    <w:rsid w:val="00152206"/>
    <w:rsid w:val="00152FC3"/>
    <w:rsid w:val="001535B9"/>
    <w:rsid w:val="00155E71"/>
    <w:rsid w:val="00156ADB"/>
    <w:rsid w:val="00157A58"/>
    <w:rsid w:val="00160B10"/>
    <w:rsid w:val="00160D78"/>
    <w:rsid w:val="00170C55"/>
    <w:rsid w:val="00171897"/>
    <w:rsid w:val="00173418"/>
    <w:rsid w:val="00176119"/>
    <w:rsid w:val="00183469"/>
    <w:rsid w:val="00192BE9"/>
    <w:rsid w:val="001931F5"/>
    <w:rsid w:val="001933C5"/>
    <w:rsid w:val="00196642"/>
    <w:rsid w:val="001A3D4A"/>
    <w:rsid w:val="001A7F57"/>
    <w:rsid w:val="001B2144"/>
    <w:rsid w:val="001B2FAD"/>
    <w:rsid w:val="001B4E01"/>
    <w:rsid w:val="001C0B13"/>
    <w:rsid w:val="001C1F73"/>
    <w:rsid w:val="001C4E4F"/>
    <w:rsid w:val="001C617B"/>
    <w:rsid w:val="001D3952"/>
    <w:rsid w:val="001E1F22"/>
    <w:rsid w:val="001F11B3"/>
    <w:rsid w:val="001F18A8"/>
    <w:rsid w:val="001F63FD"/>
    <w:rsid w:val="001F6920"/>
    <w:rsid w:val="001F76B3"/>
    <w:rsid w:val="00201266"/>
    <w:rsid w:val="00202409"/>
    <w:rsid w:val="00203113"/>
    <w:rsid w:val="00203CC1"/>
    <w:rsid w:val="00210A5D"/>
    <w:rsid w:val="00220E01"/>
    <w:rsid w:val="00224AC3"/>
    <w:rsid w:val="0022556E"/>
    <w:rsid w:val="00233194"/>
    <w:rsid w:val="0023329C"/>
    <w:rsid w:val="0023578B"/>
    <w:rsid w:val="00237A1B"/>
    <w:rsid w:val="0025481A"/>
    <w:rsid w:val="002565E1"/>
    <w:rsid w:val="00263627"/>
    <w:rsid w:val="00271823"/>
    <w:rsid w:val="00275477"/>
    <w:rsid w:val="002818F4"/>
    <w:rsid w:val="00287ED5"/>
    <w:rsid w:val="00296CE1"/>
    <w:rsid w:val="002A2091"/>
    <w:rsid w:val="002A226D"/>
    <w:rsid w:val="002A6B56"/>
    <w:rsid w:val="002B353F"/>
    <w:rsid w:val="002C1DD6"/>
    <w:rsid w:val="002E0230"/>
    <w:rsid w:val="002E7A8E"/>
    <w:rsid w:val="002F3A06"/>
    <w:rsid w:val="002F605B"/>
    <w:rsid w:val="00303173"/>
    <w:rsid w:val="00304CD7"/>
    <w:rsid w:val="00305C43"/>
    <w:rsid w:val="00307117"/>
    <w:rsid w:val="00307F9E"/>
    <w:rsid w:val="00310601"/>
    <w:rsid w:val="00323108"/>
    <w:rsid w:val="00324483"/>
    <w:rsid w:val="00326CAE"/>
    <w:rsid w:val="003276FA"/>
    <w:rsid w:val="00333261"/>
    <w:rsid w:val="00337396"/>
    <w:rsid w:val="00344EAB"/>
    <w:rsid w:val="00347AA2"/>
    <w:rsid w:val="00350662"/>
    <w:rsid w:val="00350963"/>
    <w:rsid w:val="00350CCC"/>
    <w:rsid w:val="0035293B"/>
    <w:rsid w:val="003570CA"/>
    <w:rsid w:val="003578FC"/>
    <w:rsid w:val="00366BED"/>
    <w:rsid w:val="00372918"/>
    <w:rsid w:val="00375042"/>
    <w:rsid w:val="00375A7C"/>
    <w:rsid w:val="00376570"/>
    <w:rsid w:val="00381AB2"/>
    <w:rsid w:val="00386F03"/>
    <w:rsid w:val="003957E7"/>
    <w:rsid w:val="003A3A69"/>
    <w:rsid w:val="003A72FB"/>
    <w:rsid w:val="003B0FCE"/>
    <w:rsid w:val="003B2B90"/>
    <w:rsid w:val="003B2EF0"/>
    <w:rsid w:val="003B312C"/>
    <w:rsid w:val="003B42F8"/>
    <w:rsid w:val="003C4738"/>
    <w:rsid w:val="003C6E42"/>
    <w:rsid w:val="003D0071"/>
    <w:rsid w:val="003D0145"/>
    <w:rsid w:val="003D0ADD"/>
    <w:rsid w:val="003D0D81"/>
    <w:rsid w:val="003D283F"/>
    <w:rsid w:val="003E0362"/>
    <w:rsid w:val="003E2E5C"/>
    <w:rsid w:val="003E4CEC"/>
    <w:rsid w:val="003E5BE5"/>
    <w:rsid w:val="003E6393"/>
    <w:rsid w:val="003E7235"/>
    <w:rsid w:val="003F3341"/>
    <w:rsid w:val="003F3E9F"/>
    <w:rsid w:val="00402DA8"/>
    <w:rsid w:val="004036CB"/>
    <w:rsid w:val="00403A1F"/>
    <w:rsid w:val="00404A52"/>
    <w:rsid w:val="0040500E"/>
    <w:rsid w:val="00407712"/>
    <w:rsid w:val="004120ED"/>
    <w:rsid w:val="004230BA"/>
    <w:rsid w:val="004234CE"/>
    <w:rsid w:val="004243B4"/>
    <w:rsid w:val="004259A6"/>
    <w:rsid w:val="00433BE8"/>
    <w:rsid w:val="004348F1"/>
    <w:rsid w:val="00440FA5"/>
    <w:rsid w:val="00444C08"/>
    <w:rsid w:val="0044689D"/>
    <w:rsid w:val="004529B7"/>
    <w:rsid w:val="00452DA0"/>
    <w:rsid w:val="00455D6D"/>
    <w:rsid w:val="00456E03"/>
    <w:rsid w:val="00461C3F"/>
    <w:rsid w:val="0046201C"/>
    <w:rsid w:val="004622CF"/>
    <w:rsid w:val="00462721"/>
    <w:rsid w:val="00464ED3"/>
    <w:rsid w:val="004661B2"/>
    <w:rsid w:val="00466773"/>
    <w:rsid w:val="00472C1F"/>
    <w:rsid w:val="00487C2C"/>
    <w:rsid w:val="004A00A8"/>
    <w:rsid w:val="004A117A"/>
    <w:rsid w:val="004A1A3F"/>
    <w:rsid w:val="004A1A7B"/>
    <w:rsid w:val="004A6F9B"/>
    <w:rsid w:val="004B163D"/>
    <w:rsid w:val="004B640C"/>
    <w:rsid w:val="004B7B10"/>
    <w:rsid w:val="004C102F"/>
    <w:rsid w:val="004D2AB4"/>
    <w:rsid w:val="004E100F"/>
    <w:rsid w:val="004E4993"/>
    <w:rsid w:val="004F1D9C"/>
    <w:rsid w:val="004F4DC6"/>
    <w:rsid w:val="004F644E"/>
    <w:rsid w:val="004F6BF2"/>
    <w:rsid w:val="004F6CB7"/>
    <w:rsid w:val="0050057D"/>
    <w:rsid w:val="005011D9"/>
    <w:rsid w:val="00502163"/>
    <w:rsid w:val="00502342"/>
    <w:rsid w:val="005059C6"/>
    <w:rsid w:val="00506BA2"/>
    <w:rsid w:val="00510E93"/>
    <w:rsid w:val="00511263"/>
    <w:rsid w:val="00523806"/>
    <w:rsid w:val="00524708"/>
    <w:rsid w:val="00524825"/>
    <w:rsid w:val="0052749E"/>
    <w:rsid w:val="005300E6"/>
    <w:rsid w:val="005360A8"/>
    <w:rsid w:val="005361EC"/>
    <w:rsid w:val="00536A49"/>
    <w:rsid w:val="00543135"/>
    <w:rsid w:val="00543D85"/>
    <w:rsid w:val="005527A6"/>
    <w:rsid w:val="0056606B"/>
    <w:rsid w:val="00567146"/>
    <w:rsid w:val="00575855"/>
    <w:rsid w:val="00576984"/>
    <w:rsid w:val="00582D40"/>
    <w:rsid w:val="00590065"/>
    <w:rsid w:val="00591B9A"/>
    <w:rsid w:val="00593D13"/>
    <w:rsid w:val="00596BDF"/>
    <w:rsid w:val="00596F5C"/>
    <w:rsid w:val="005A0A55"/>
    <w:rsid w:val="005A41B4"/>
    <w:rsid w:val="005A4A42"/>
    <w:rsid w:val="005A6836"/>
    <w:rsid w:val="005A6B81"/>
    <w:rsid w:val="005B734D"/>
    <w:rsid w:val="005B7CA2"/>
    <w:rsid w:val="005C35BB"/>
    <w:rsid w:val="005D0F72"/>
    <w:rsid w:val="005D25FC"/>
    <w:rsid w:val="005D450E"/>
    <w:rsid w:val="005D5F8F"/>
    <w:rsid w:val="005D7D42"/>
    <w:rsid w:val="005E3782"/>
    <w:rsid w:val="00603681"/>
    <w:rsid w:val="0061216A"/>
    <w:rsid w:val="006128C8"/>
    <w:rsid w:val="006145A3"/>
    <w:rsid w:val="006218BD"/>
    <w:rsid w:val="00622E0C"/>
    <w:rsid w:val="00625626"/>
    <w:rsid w:val="006304BF"/>
    <w:rsid w:val="00635AEE"/>
    <w:rsid w:val="00640529"/>
    <w:rsid w:val="00644510"/>
    <w:rsid w:val="00644FCE"/>
    <w:rsid w:val="00680162"/>
    <w:rsid w:val="0068361F"/>
    <w:rsid w:val="006A1139"/>
    <w:rsid w:val="006B38E2"/>
    <w:rsid w:val="006B4BAA"/>
    <w:rsid w:val="006B7345"/>
    <w:rsid w:val="006B7A61"/>
    <w:rsid w:val="006C35CC"/>
    <w:rsid w:val="006C7B61"/>
    <w:rsid w:val="006D1C15"/>
    <w:rsid w:val="006D2B23"/>
    <w:rsid w:val="006E50BA"/>
    <w:rsid w:val="006E5AA5"/>
    <w:rsid w:val="0070033F"/>
    <w:rsid w:val="00710E8C"/>
    <w:rsid w:val="00711F1B"/>
    <w:rsid w:val="00712B15"/>
    <w:rsid w:val="007135D0"/>
    <w:rsid w:val="00722339"/>
    <w:rsid w:val="00724820"/>
    <w:rsid w:val="0072730D"/>
    <w:rsid w:val="007306FA"/>
    <w:rsid w:val="007323ED"/>
    <w:rsid w:val="00733ED1"/>
    <w:rsid w:val="00734135"/>
    <w:rsid w:val="00735C39"/>
    <w:rsid w:val="00743058"/>
    <w:rsid w:val="00743381"/>
    <w:rsid w:val="00753095"/>
    <w:rsid w:val="00753EEE"/>
    <w:rsid w:val="00754C15"/>
    <w:rsid w:val="00757D43"/>
    <w:rsid w:val="007622EA"/>
    <w:rsid w:val="00762B89"/>
    <w:rsid w:val="007712AC"/>
    <w:rsid w:val="007728EB"/>
    <w:rsid w:val="007823FE"/>
    <w:rsid w:val="0078341D"/>
    <w:rsid w:val="007836B4"/>
    <w:rsid w:val="00785A1E"/>
    <w:rsid w:val="0079005C"/>
    <w:rsid w:val="00792E07"/>
    <w:rsid w:val="00796525"/>
    <w:rsid w:val="007A76BA"/>
    <w:rsid w:val="007B1A88"/>
    <w:rsid w:val="007B31F6"/>
    <w:rsid w:val="007B32B0"/>
    <w:rsid w:val="007B64FE"/>
    <w:rsid w:val="007C31D2"/>
    <w:rsid w:val="007C3714"/>
    <w:rsid w:val="007C5CAD"/>
    <w:rsid w:val="007C6866"/>
    <w:rsid w:val="007D09AE"/>
    <w:rsid w:val="007D1C3C"/>
    <w:rsid w:val="007D21CF"/>
    <w:rsid w:val="007D7784"/>
    <w:rsid w:val="007F41F9"/>
    <w:rsid w:val="007F4A01"/>
    <w:rsid w:val="00802DDB"/>
    <w:rsid w:val="00803F69"/>
    <w:rsid w:val="00804ACC"/>
    <w:rsid w:val="008127CA"/>
    <w:rsid w:val="008129C4"/>
    <w:rsid w:val="00814FD3"/>
    <w:rsid w:val="00816695"/>
    <w:rsid w:val="00820362"/>
    <w:rsid w:val="00821370"/>
    <w:rsid w:val="00821AAC"/>
    <w:rsid w:val="008230ED"/>
    <w:rsid w:val="00825BF9"/>
    <w:rsid w:val="00827FB5"/>
    <w:rsid w:val="00833FF5"/>
    <w:rsid w:val="00835614"/>
    <w:rsid w:val="008460B0"/>
    <w:rsid w:val="00846824"/>
    <w:rsid w:val="008542C2"/>
    <w:rsid w:val="008566CB"/>
    <w:rsid w:val="00857920"/>
    <w:rsid w:val="0086742E"/>
    <w:rsid w:val="008728E0"/>
    <w:rsid w:val="008757C6"/>
    <w:rsid w:val="00880E82"/>
    <w:rsid w:val="00882314"/>
    <w:rsid w:val="00882781"/>
    <w:rsid w:val="008834B8"/>
    <w:rsid w:val="0088557F"/>
    <w:rsid w:val="00895D73"/>
    <w:rsid w:val="008B257C"/>
    <w:rsid w:val="008B5E8B"/>
    <w:rsid w:val="008C38B5"/>
    <w:rsid w:val="008C5973"/>
    <w:rsid w:val="008C7702"/>
    <w:rsid w:val="008D0BBE"/>
    <w:rsid w:val="008E2C7C"/>
    <w:rsid w:val="008E2F6C"/>
    <w:rsid w:val="008F0F36"/>
    <w:rsid w:val="008F0F84"/>
    <w:rsid w:val="008F1437"/>
    <w:rsid w:val="008F632C"/>
    <w:rsid w:val="008F66D2"/>
    <w:rsid w:val="008F6F27"/>
    <w:rsid w:val="008F7A96"/>
    <w:rsid w:val="00904F11"/>
    <w:rsid w:val="00907E59"/>
    <w:rsid w:val="00913876"/>
    <w:rsid w:val="00916BDE"/>
    <w:rsid w:val="0092327D"/>
    <w:rsid w:val="009269D9"/>
    <w:rsid w:val="009305C4"/>
    <w:rsid w:val="009321E4"/>
    <w:rsid w:val="0093281A"/>
    <w:rsid w:val="00936B65"/>
    <w:rsid w:val="00943271"/>
    <w:rsid w:val="0094705D"/>
    <w:rsid w:val="00954260"/>
    <w:rsid w:val="00954AA8"/>
    <w:rsid w:val="00961C60"/>
    <w:rsid w:val="0096394A"/>
    <w:rsid w:val="0096519D"/>
    <w:rsid w:val="00966A58"/>
    <w:rsid w:val="0096728F"/>
    <w:rsid w:val="0097116C"/>
    <w:rsid w:val="009811DE"/>
    <w:rsid w:val="00982C10"/>
    <w:rsid w:val="0098377F"/>
    <w:rsid w:val="00991A9A"/>
    <w:rsid w:val="0099203B"/>
    <w:rsid w:val="00992AB5"/>
    <w:rsid w:val="009947CD"/>
    <w:rsid w:val="009A22AE"/>
    <w:rsid w:val="009A2D24"/>
    <w:rsid w:val="009A3363"/>
    <w:rsid w:val="009A4284"/>
    <w:rsid w:val="009B36EC"/>
    <w:rsid w:val="009B3725"/>
    <w:rsid w:val="009B3E5D"/>
    <w:rsid w:val="009B4679"/>
    <w:rsid w:val="009C532B"/>
    <w:rsid w:val="009C697D"/>
    <w:rsid w:val="009D0A30"/>
    <w:rsid w:val="009D0EC4"/>
    <w:rsid w:val="009D30C1"/>
    <w:rsid w:val="009D6989"/>
    <w:rsid w:val="009E05F9"/>
    <w:rsid w:val="009E1A99"/>
    <w:rsid w:val="009E3337"/>
    <w:rsid w:val="009E7C04"/>
    <w:rsid w:val="009F7287"/>
    <w:rsid w:val="00A01981"/>
    <w:rsid w:val="00A07625"/>
    <w:rsid w:val="00A104FC"/>
    <w:rsid w:val="00A1253E"/>
    <w:rsid w:val="00A12B7B"/>
    <w:rsid w:val="00A14DC4"/>
    <w:rsid w:val="00A1735A"/>
    <w:rsid w:val="00A200B8"/>
    <w:rsid w:val="00A20967"/>
    <w:rsid w:val="00A21E27"/>
    <w:rsid w:val="00A33D14"/>
    <w:rsid w:val="00A37D0A"/>
    <w:rsid w:val="00A40263"/>
    <w:rsid w:val="00A42716"/>
    <w:rsid w:val="00A506C1"/>
    <w:rsid w:val="00A61DC4"/>
    <w:rsid w:val="00A6580C"/>
    <w:rsid w:val="00A73BFF"/>
    <w:rsid w:val="00A74AFD"/>
    <w:rsid w:val="00A752EA"/>
    <w:rsid w:val="00A76883"/>
    <w:rsid w:val="00A77098"/>
    <w:rsid w:val="00A8126B"/>
    <w:rsid w:val="00A81F07"/>
    <w:rsid w:val="00A92F3D"/>
    <w:rsid w:val="00A95B06"/>
    <w:rsid w:val="00A961E9"/>
    <w:rsid w:val="00AA591D"/>
    <w:rsid w:val="00AA7673"/>
    <w:rsid w:val="00AB34FF"/>
    <w:rsid w:val="00AB5A6F"/>
    <w:rsid w:val="00AB5D56"/>
    <w:rsid w:val="00AC4AE2"/>
    <w:rsid w:val="00AC5E9B"/>
    <w:rsid w:val="00AC7B0C"/>
    <w:rsid w:val="00AD08D5"/>
    <w:rsid w:val="00AD15C4"/>
    <w:rsid w:val="00AD196B"/>
    <w:rsid w:val="00AD32A7"/>
    <w:rsid w:val="00AD373D"/>
    <w:rsid w:val="00AE48DF"/>
    <w:rsid w:val="00AE5FED"/>
    <w:rsid w:val="00AF3336"/>
    <w:rsid w:val="00B0250B"/>
    <w:rsid w:val="00B06D82"/>
    <w:rsid w:val="00B10239"/>
    <w:rsid w:val="00B11E2C"/>
    <w:rsid w:val="00B12F75"/>
    <w:rsid w:val="00B16E93"/>
    <w:rsid w:val="00B2512C"/>
    <w:rsid w:val="00B34036"/>
    <w:rsid w:val="00B363EB"/>
    <w:rsid w:val="00B46C8D"/>
    <w:rsid w:val="00B66B2E"/>
    <w:rsid w:val="00B67859"/>
    <w:rsid w:val="00B720F6"/>
    <w:rsid w:val="00B7351B"/>
    <w:rsid w:val="00BA01C3"/>
    <w:rsid w:val="00BA1ADD"/>
    <w:rsid w:val="00BA28FD"/>
    <w:rsid w:val="00BA3F3C"/>
    <w:rsid w:val="00BA4C36"/>
    <w:rsid w:val="00BB578F"/>
    <w:rsid w:val="00BC030D"/>
    <w:rsid w:val="00BD1F35"/>
    <w:rsid w:val="00BD4F7D"/>
    <w:rsid w:val="00BD584D"/>
    <w:rsid w:val="00BE268B"/>
    <w:rsid w:val="00BF1697"/>
    <w:rsid w:val="00BF53D8"/>
    <w:rsid w:val="00BF773A"/>
    <w:rsid w:val="00C0190E"/>
    <w:rsid w:val="00C03067"/>
    <w:rsid w:val="00C03AB8"/>
    <w:rsid w:val="00C1752F"/>
    <w:rsid w:val="00C24704"/>
    <w:rsid w:val="00C26DD0"/>
    <w:rsid w:val="00C3172F"/>
    <w:rsid w:val="00C3513F"/>
    <w:rsid w:val="00C40110"/>
    <w:rsid w:val="00C43213"/>
    <w:rsid w:val="00C43612"/>
    <w:rsid w:val="00C45E14"/>
    <w:rsid w:val="00C50665"/>
    <w:rsid w:val="00C5382F"/>
    <w:rsid w:val="00C549BA"/>
    <w:rsid w:val="00C57E51"/>
    <w:rsid w:val="00C611FD"/>
    <w:rsid w:val="00C6171E"/>
    <w:rsid w:val="00C62BE2"/>
    <w:rsid w:val="00C666D5"/>
    <w:rsid w:val="00C710A7"/>
    <w:rsid w:val="00C71392"/>
    <w:rsid w:val="00C732F4"/>
    <w:rsid w:val="00C7483E"/>
    <w:rsid w:val="00C77599"/>
    <w:rsid w:val="00C83CC5"/>
    <w:rsid w:val="00C90551"/>
    <w:rsid w:val="00C9339D"/>
    <w:rsid w:val="00CA1A65"/>
    <w:rsid w:val="00CA2765"/>
    <w:rsid w:val="00CA27CC"/>
    <w:rsid w:val="00CA5B8D"/>
    <w:rsid w:val="00CB6B34"/>
    <w:rsid w:val="00CC1A99"/>
    <w:rsid w:val="00CC3749"/>
    <w:rsid w:val="00CC41F7"/>
    <w:rsid w:val="00CD6A6F"/>
    <w:rsid w:val="00CE2207"/>
    <w:rsid w:val="00CE347A"/>
    <w:rsid w:val="00CE4798"/>
    <w:rsid w:val="00CE6E7E"/>
    <w:rsid w:val="00CF0782"/>
    <w:rsid w:val="00CF4424"/>
    <w:rsid w:val="00CF6762"/>
    <w:rsid w:val="00D02666"/>
    <w:rsid w:val="00D03CC5"/>
    <w:rsid w:val="00D047D4"/>
    <w:rsid w:val="00D048EC"/>
    <w:rsid w:val="00D05A24"/>
    <w:rsid w:val="00D0683A"/>
    <w:rsid w:val="00D15234"/>
    <w:rsid w:val="00D177A6"/>
    <w:rsid w:val="00D20610"/>
    <w:rsid w:val="00D20C3E"/>
    <w:rsid w:val="00D216F4"/>
    <w:rsid w:val="00D21923"/>
    <w:rsid w:val="00D21B35"/>
    <w:rsid w:val="00D27A8B"/>
    <w:rsid w:val="00D33BA3"/>
    <w:rsid w:val="00D34E37"/>
    <w:rsid w:val="00D43B52"/>
    <w:rsid w:val="00D45551"/>
    <w:rsid w:val="00D52504"/>
    <w:rsid w:val="00D5651D"/>
    <w:rsid w:val="00D73C3A"/>
    <w:rsid w:val="00D81E01"/>
    <w:rsid w:val="00D854FA"/>
    <w:rsid w:val="00D919C2"/>
    <w:rsid w:val="00D942EC"/>
    <w:rsid w:val="00D95933"/>
    <w:rsid w:val="00D96407"/>
    <w:rsid w:val="00D972AE"/>
    <w:rsid w:val="00DA12AF"/>
    <w:rsid w:val="00DA70B9"/>
    <w:rsid w:val="00DA79F8"/>
    <w:rsid w:val="00DB5EA7"/>
    <w:rsid w:val="00DB7564"/>
    <w:rsid w:val="00DC1469"/>
    <w:rsid w:val="00DC314E"/>
    <w:rsid w:val="00DC4A8C"/>
    <w:rsid w:val="00DC7E9E"/>
    <w:rsid w:val="00DD2B6C"/>
    <w:rsid w:val="00DD518A"/>
    <w:rsid w:val="00DE3D1B"/>
    <w:rsid w:val="00DF1A57"/>
    <w:rsid w:val="00DF39E6"/>
    <w:rsid w:val="00E002E2"/>
    <w:rsid w:val="00E00E25"/>
    <w:rsid w:val="00E02F2E"/>
    <w:rsid w:val="00E1286D"/>
    <w:rsid w:val="00E14045"/>
    <w:rsid w:val="00E345C5"/>
    <w:rsid w:val="00E35131"/>
    <w:rsid w:val="00E4492C"/>
    <w:rsid w:val="00E45FD3"/>
    <w:rsid w:val="00E53694"/>
    <w:rsid w:val="00E53877"/>
    <w:rsid w:val="00E56D2D"/>
    <w:rsid w:val="00E62D2A"/>
    <w:rsid w:val="00E630F4"/>
    <w:rsid w:val="00E6592E"/>
    <w:rsid w:val="00E66F68"/>
    <w:rsid w:val="00E67FB6"/>
    <w:rsid w:val="00E7474A"/>
    <w:rsid w:val="00E82D9D"/>
    <w:rsid w:val="00E83500"/>
    <w:rsid w:val="00E852E3"/>
    <w:rsid w:val="00E855C5"/>
    <w:rsid w:val="00E8719C"/>
    <w:rsid w:val="00E90680"/>
    <w:rsid w:val="00E926A1"/>
    <w:rsid w:val="00E951AC"/>
    <w:rsid w:val="00EA6A82"/>
    <w:rsid w:val="00EB24D5"/>
    <w:rsid w:val="00EB6949"/>
    <w:rsid w:val="00EB70A8"/>
    <w:rsid w:val="00EC45EF"/>
    <w:rsid w:val="00EC61F0"/>
    <w:rsid w:val="00ED1FCF"/>
    <w:rsid w:val="00ED300D"/>
    <w:rsid w:val="00ED7AD3"/>
    <w:rsid w:val="00EE1891"/>
    <w:rsid w:val="00EE1E56"/>
    <w:rsid w:val="00EE2E27"/>
    <w:rsid w:val="00EE5B62"/>
    <w:rsid w:val="00EE64E3"/>
    <w:rsid w:val="00EF332B"/>
    <w:rsid w:val="00EF4FEC"/>
    <w:rsid w:val="00EF6B7C"/>
    <w:rsid w:val="00F066DD"/>
    <w:rsid w:val="00F15B0A"/>
    <w:rsid w:val="00F16C6F"/>
    <w:rsid w:val="00F2231D"/>
    <w:rsid w:val="00F24F1E"/>
    <w:rsid w:val="00F33C07"/>
    <w:rsid w:val="00F34274"/>
    <w:rsid w:val="00F40E07"/>
    <w:rsid w:val="00F4273D"/>
    <w:rsid w:val="00F443C5"/>
    <w:rsid w:val="00F47BCF"/>
    <w:rsid w:val="00F47D46"/>
    <w:rsid w:val="00F509A8"/>
    <w:rsid w:val="00F560A3"/>
    <w:rsid w:val="00F6022E"/>
    <w:rsid w:val="00F66528"/>
    <w:rsid w:val="00F71E0B"/>
    <w:rsid w:val="00F7200E"/>
    <w:rsid w:val="00F733B8"/>
    <w:rsid w:val="00F7680F"/>
    <w:rsid w:val="00F76FA7"/>
    <w:rsid w:val="00F82B3D"/>
    <w:rsid w:val="00F84F5A"/>
    <w:rsid w:val="00F85065"/>
    <w:rsid w:val="00F86193"/>
    <w:rsid w:val="00F9011F"/>
    <w:rsid w:val="00F90C20"/>
    <w:rsid w:val="00F92475"/>
    <w:rsid w:val="00F936EA"/>
    <w:rsid w:val="00F95E8C"/>
    <w:rsid w:val="00FA4D10"/>
    <w:rsid w:val="00FA7E95"/>
    <w:rsid w:val="00FB0CE9"/>
    <w:rsid w:val="00FB5E31"/>
    <w:rsid w:val="00FB6DA4"/>
    <w:rsid w:val="00FD55BA"/>
    <w:rsid w:val="00FD659A"/>
    <w:rsid w:val="00FD6C4D"/>
    <w:rsid w:val="00FD7BD8"/>
    <w:rsid w:val="00FE164A"/>
    <w:rsid w:val="00FE1D5D"/>
    <w:rsid w:val="00FF04DE"/>
    <w:rsid w:val="00FF2512"/>
    <w:rsid w:val="00FF25F6"/>
    <w:rsid w:val="00FF647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F30D35"/>
  <w15:chartTrackingRefBased/>
  <w15:docId w15:val="{C8318FD9-C06F-4D65-9C92-A9360465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4" w:qFormat="1"/>
    <w:lsdException w:name="heading 2" w:semiHidden="1" w:uiPriority="7"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3" w:qFormat="1"/>
    <w:lsdException w:name="heading 7" w:uiPriority="19" w:qFormat="1"/>
    <w:lsdException w:name="heading 8" w:uiPriority="9"/>
    <w:lsdException w:name="heading 9" w:uiPriority="2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B34FF"/>
    <w:pPr>
      <w:widowControl w:val="0"/>
      <w:spacing w:after="0" w:line="240" w:lineRule="auto"/>
      <w:jc w:val="both"/>
    </w:pPr>
  </w:style>
  <w:style w:type="paragraph" w:styleId="Heading1">
    <w:name w:val="heading 1"/>
    <w:next w:val="Para0"/>
    <w:link w:val="Heading1Char"/>
    <w:uiPriority w:val="4"/>
    <w:qFormat/>
    <w:rsid w:val="007A76BA"/>
    <w:pPr>
      <w:keepNext/>
      <w:keepLines/>
      <w:pageBreakBefore/>
      <w:framePr w:w="9072" w:wrap="notBeside" w:vAnchor="text" w:hAnchor="page" w:xAlign="center" w:y="1"/>
      <w:numPr>
        <w:numId w:val="33"/>
      </w:numPr>
      <w:pBdr>
        <w:top w:val="single" w:sz="48" w:space="30" w:color="FFFFFF" w:themeColor="accent2"/>
        <w:left w:val="single" w:sz="48" w:space="5" w:color="FFFFFF" w:themeColor="accent2"/>
        <w:bottom w:val="single" w:sz="48" w:space="5" w:color="FFFFFF" w:themeColor="accent2"/>
        <w:right w:val="single" w:sz="24" w:space="5" w:color="FFFFFF" w:themeColor="accent2"/>
      </w:pBdr>
      <w:shd w:val="clear" w:color="auto" w:fill="FFFFFF" w:themeFill="accent2"/>
      <w:spacing w:after="600" w:line="720" w:lineRule="exact"/>
      <w:ind w:left="1077" w:hanging="964"/>
      <w:outlineLvl w:val="0"/>
    </w:pPr>
    <w:rPr>
      <w:rFonts w:asciiTheme="majorHAnsi" w:eastAsiaTheme="majorEastAsia" w:hAnsiTheme="majorHAnsi" w:cstheme="majorBidi"/>
      <w:b/>
      <w:color w:val="4E81BD" w:themeColor="accent5"/>
      <w:sz w:val="56"/>
      <w:szCs w:val="32"/>
    </w:rPr>
  </w:style>
  <w:style w:type="paragraph" w:styleId="Heading2">
    <w:name w:val="heading 2"/>
    <w:next w:val="Para0"/>
    <w:link w:val="Heading2Char"/>
    <w:uiPriority w:val="7"/>
    <w:qFormat/>
    <w:rsid w:val="000E5F57"/>
    <w:pPr>
      <w:keepNext/>
      <w:numPr>
        <w:ilvl w:val="1"/>
        <w:numId w:val="33"/>
      </w:numPr>
      <w:spacing w:before="440" w:after="240" w:line="320" w:lineRule="exact"/>
      <w:outlineLvl w:val="1"/>
    </w:pPr>
    <w:rPr>
      <w:rFonts w:eastAsiaTheme="majorEastAsia" w:cstheme="majorBidi"/>
      <w:b/>
      <w:color w:val="4E81BD" w:themeColor="accent1"/>
      <w:sz w:val="24"/>
      <w:szCs w:val="26"/>
    </w:rPr>
  </w:style>
  <w:style w:type="paragraph" w:styleId="Heading3">
    <w:name w:val="heading 3"/>
    <w:next w:val="Para0"/>
    <w:link w:val="Heading3Char"/>
    <w:uiPriority w:val="9"/>
    <w:qFormat/>
    <w:rsid w:val="000E5F57"/>
    <w:pPr>
      <w:keepNext/>
      <w:keepLines/>
      <w:numPr>
        <w:ilvl w:val="2"/>
        <w:numId w:val="33"/>
      </w:numPr>
      <w:spacing w:before="280" w:after="180" w:line="280" w:lineRule="exact"/>
      <w:outlineLvl w:val="2"/>
    </w:pPr>
    <w:rPr>
      <w:rFonts w:eastAsiaTheme="majorEastAsia" w:cstheme="majorBidi"/>
      <w:b/>
      <w:i/>
      <w:color w:val="000000" w:themeColor="text1"/>
      <w:szCs w:val="24"/>
    </w:rPr>
  </w:style>
  <w:style w:type="paragraph" w:styleId="Heading4">
    <w:name w:val="heading 4"/>
    <w:next w:val="Para0"/>
    <w:link w:val="Heading4Char"/>
    <w:uiPriority w:val="9"/>
    <w:qFormat/>
    <w:rsid w:val="000E5F57"/>
    <w:pPr>
      <w:keepNext/>
      <w:keepLines/>
      <w:numPr>
        <w:ilvl w:val="3"/>
        <w:numId w:val="33"/>
      </w:numPr>
      <w:spacing w:before="240" w:after="180" w:line="280" w:lineRule="exact"/>
      <w:outlineLvl w:val="3"/>
    </w:pPr>
    <w:rPr>
      <w:rFonts w:eastAsiaTheme="majorEastAsia" w:cstheme="majorBidi"/>
      <w:i/>
      <w:iCs/>
      <w:color w:val="3F3F3F" w:themeColor="text2"/>
    </w:rPr>
  </w:style>
  <w:style w:type="paragraph" w:styleId="Heading5">
    <w:name w:val="heading 5"/>
    <w:next w:val="Para0"/>
    <w:link w:val="Heading5Char"/>
    <w:uiPriority w:val="9"/>
    <w:qFormat/>
    <w:rsid w:val="000E5F57"/>
    <w:pPr>
      <w:keepNext/>
      <w:keepLines/>
      <w:numPr>
        <w:ilvl w:val="4"/>
        <w:numId w:val="33"/>
      </w:numPr>
      <w:spacing w:before="240" w:after="180" w:line="260" w:lineRule="exact"/>
      <w:outlineLvl w:val="4"/>
    </w:pPr>
    <w:rPr>
      <w:rFonts w:eastAsiaTheme="majorEastAsia" w:cstheme="majorBidi"/>
      <w:b/>
      <w:color w:val="000000" w:themeColor="text1"/>
      <w:sz w:val="20"/>
    </w:rPr>
  </w:style>
  <w:style w:type="paragraph" w:styleId="Heading6">
    <w:name w:val="heading 6"/>
    <w:aliases w:val="Part"/>
    <w:next w:val="Heading1"/>
    <w:link w:val="Heading6Char"/>
    <w:uiPriority w:val="3"/>
    <w:qFormat/>
    <w:rsid w:val="00C0190E"/>
    <w:pPr>
      <w:keepNext/>
      <w:pageBreakBefore/>
      <w:framePr w:w="7938" w:h="13325" w:hRule="exact" w:wrap="notBeside" w:vAnchor="page" w:hAnchor="page" w:xAlign="center" w:yAlign="center"/>
      <w:numPr>
        <w:ilvl w:val="5"/>
        <w:numId w:val="33"/>
      </w:numPr>
      <w:pBdr>
        <w:top w:val="single" w:sz="48" w:space="30" w:color="FFFFFF" w:themeColor="accent2"/>
        <w:left w:val="single" w:sz="48" w:space="30" w:color="FFFFFF" w:themeColor="accent2"/>
        <w:bottom w:val="single" w:sz="48" w:space="30" w:color="FFFFFF" w:themeColor="accent2"/>
        <w:right w:val="single" w:sz="48" w:space="30" w:color="FFFFFF" w:themeColor="accent2"/>
      </w:pBdr>
      <w:shd w:val="clear" w:color="auto" w:fill="FFFFFF" w:themeFill="accent2"/>
      <w:spacing w:after="720"/>
      <w:outlineLvl w:val="5"/>
    </w:pPr>
    <w:rPr>
      <w:rFonts w:asciiTheme="majorHAnsi" w:eastAsiaTheme="majorEastAsia" w:hAnsiTheme="majorHAnsi" w:cstheme="majorBidi"/>
      <w:b/>
      <w:color w:val="4E81BD" w:themeColor="accent5"/>
      <w:sz w:val="72"/>
    </w:rPr>
  </w:style>
  <w:style w:type="paragraph" w:styleId="Heading7">
    <w:name w:val="heading 7"/>
    <w:aliases w:val="Doc AnnX"/>
    <w:basedOn w:val="Heading9"/>
    <w:next w:val="Para0"/>
    <w:link w:val="Heading7Char"/>
    <w:uiPriority w:val="19"/>
    <w:qFormat/>
    <w:rsid w:val="00BF1697"/>
    <w:pPr>
      <w:numPr>
        <w:ilvl w:val="6"/>
      </w:numPr>
      <w:spacing w:after="1500" w:line="600" w:lineRule="exact"/>
      <w:outlineLvl w:val="6"/>
    </w:pPr>
  </w:style>
  <w:style w:type="paragraph" w:styleId="Heading8">
    <w:name w:val="heading 8"/>
    <w:aliases w:val="Part AnnX"/>
    <w:next w:val="Para0"/>
    <w:link w:val="Heading8Char"/>
    <w:uiPriority w:val="9"/>
    <w:rsid w:val="00B06D82"/>
    <w:pPr>
      <w:keepNext/>
      <w:pageBreakBefore/>
      <w:numPr>
        <w:ilvl w:val="7"/>
        <w:numId w:val="33"/>
      </w:numPr>
      <w:spacing w:before="1200" w:after="720"/>
      <w:jc w:val="center"/>
      <w:outlineLvl w:val="7"/>
    </w:pPr>
    <w:rPr>
      <w:rFonts w:asciiTheme="majorHAnsi" w:eastAsiaTheme="majorEastAsia" w:hAnsiTheme="majorHAnsi" w:cstheme="majorBidi"/>
      <w:b/>
      <w:color w:val="4E81BD" w:themeColor="accent1"/>
      <w:sz w:val="28"/>
      <w:szCs w:val="21"/>
    </w:rPr>
  </w:style>
  <w:style w:type="paragraph" w:styleId="Heading9">
    <w:name w:val="heading 9"/>
    <w:aliases w:val="Chap AnnX"/>
    <w:next w:val="Para0"/>
    <w:link w:val="Heading9Char"/>
    <w:uiPriority w:val="20"/>
    <w:qFormat/>
    <w:rsid w:val="00BF1697"/>
    <w:pPr>
      <w:keepNext/>
      <w:pageBreakBefore/>
      <w:numPr>
        <w:ilvl w:val="8"/>
        <w:numId w:val="33"/>
      </w:numPr>
      <w:spacing w:after="960" w:line="520" w:lineRule="exact"/>
      <w:outlineLvl w:val="8"/>
    </w:pPr>
    <w:rPr>
      <w:rFonts w:asciiTheme="majorHAnsi" w:eastAsiaTheme="majorEastAsia" w:hAnsiTheme="majorHAnsi" w:cstheme="majorBidi"/>
      <w:b/>
      <w:iCs/>
      <w:color w:val="4E81BD" w:themeColor="accent1"/>
      <w:sz w:val="4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
    <w:name w:val="Para"/>
    <w:link w:val="ParaChar"/>
    <w:uiPriority w:val="4"/>
    <w:qFormat/>
    <w:rsid w:val="00991A9A"/>
    <w:pPr>
      <w:spacing w:before="120" w:after="120" w:line="260" w:lineRule="atLeast"/>
      <w:jc w:val="both"/>
    </w:pPr>
    <w:rPr>
      <w:color w:val="000000" w:themeColor="text1"/>
      <w:sz w:val="20"/>
    </w:rPr>
  </w:style>
  <w:style w:type="character" w:customStyle="1" w:styleId="ParaChar">
    <w:name w:val="Para Char"/>
    <w:basedOn w:val="DefaultParagraphFont"/>
    <w:link w:val="Para0"/>
    <w:uiPriority w:val="4"/>
    <w:rsid w:val="00991A9A"/>
    <w:rPr>
      <w:color w:val="000000" w:themeColor="text1"/>
      <w:sz w:val="20"/>
    </w:rPr>
  </w:style>
  <w:style w:type="character" w:customStyle="1" w:styleId="Heading1Char">
    <w:name w:val="Heading 1 Char"/>
    <w:basedOn w:val="DefaultParagraphFont"/>
    <w:link w:val="Heading1"/>
    <w:uiPriority w:val="4"/>
    <w:rsid w:val="007A76BA"/>
    <w:rPr>
      <w:rFonts w:asciiTheme="majorHAnsi" w:eastAsiaTheme="majorEastAsia" w:hAnsiTheme="majorHAnsi" w:cstheme="majorBidi"/>
      <w:b/>
      <w:color w:val="4E81BD" w:themeColor="accent5"/>
      <w:sz w:val="56"/>
      <w:szCs w:val="32"/>
      <w:shd w:val="clear" w:color="auto" w:fill="FFFFFF" w:themeFill="accent2"/>
    </w:rPr>
  </w:style>
  <w:style w:type="character" w:customStyle="1" w:styleId="Heading2Char">
    <w:name w:val="Heading 2 Char"/>
    <w:basedOn w:val="DefaultParagraphFont"/>
    <w:link w:val="Heading2"/>
    <w:uiPriority w:val="7"/>
    <w:rsid w:val="000E5F57"/>
    <w:rPr>
      <w:rFonts w:eastAsiaTheme="majorEastAsia" w:cstheme="majorBidi"/>
      <w:b/>
      <w:color w:val="4E81BD" w:themeColor="accent1"/>
      <w:sz w:val="24"/>
      <w:szCs w:val="26"/>
    </w:rPr>
  </w:style>
  <w:style w:type="character" w:customStyle="1" w:styleId="Heading3Char">
    <w:name w:val="Heading 3 Char"/>
    <w:basedOn w:val="DefaultParagraphFont"/>
    <w:link w:val="Heading3"/>
    <w:uiPriority w:val="9"/>
    <w:rsid w:val="000E5F57"/>
    <w:rPr>
      <w:rFonts w:eastAsiaTheme="majorEastAsia" w:cstheme="majorBidi"/>
      <w:b/>
      <w:i/>
      <w:color w:val="000000" w:themeColor="text1"/>
      <w:szCs w:val="24"/>
    </w:rPr>
  </w:style>
  <w:style w:type="character" w:customStyle="1" w:styleId="Heading4Char">
    <w:name w:val="Heading 4 Char"/>
    <w:basedOn w:val="DefaultParagraphFont"/>
    <w:link w:val="Heading4"/>
    <w:uiPriority w:val="9"/>
    <w:rsid w:val="000E5F57"/>
    <w:rPr>
      <w:rFonts w:eastAsiaTheme="majorEastAsia" w:cstheme="majorBidi"/>
      <w:i/>
      <w:iCs/>
      <w:color w:val="3F3F3F" w:themeColor="text2"/>
    </w:rPr>
  </w:style>
  <w:style w:type="character" w:customStyle="1" w:styleId="Heading5Char">
    <w:name w:val="Heading 5 Char"/>
    <w:basedOn w:val="DefaultParagraphFont"/>
    <w:link w:val="Heading5"/>
    <w:uiPriority w:val="9"/>
    <w:rsid w:val="000E5F57"/>
    <w:rPr>
      <w:rFonts w:eastAsiaTheme="majorEastAsia" w:cstheme="majorBidi"/>
      <w:b/>
      <w:color w:val="000000" w:themeColor="text1"/>
      <w:sz w:val="20"/>
    </w:rPr>
  </w:style>
  <w:style w:type="character" w:customStyle="1" w:styleId="Heading6Char">
    <w:name w:val="Heading 6 Char"/>
    <w:aliases w:val="Part Char"/>
    <w:basedOn w:val="DefaultParagraphFont"/>
    <w:link w:val="Heading6"/>
    <w:uiPriority w:val="3"/>
    <w:rsid w:val="001931F5"/>
    <w:rPr>
      <w:rFonts w:asciiTheme="majorHAnsi" w:eastAsiaTheme="majorEastAsia" w:hAnsiTheme="majorHAnsi" w:cstheme="majorBidi"/>
      <w:b/>
      <w:color w:val="4E81BD" w:themeColor="accent5"/>
      <w:sz w:val="72"/>
      <w:shd w:val="clear" w:color="auto" w:fill="FFFFFF" w:themeFill="accent2"/>
    </w:rPr>
  </w:style>
  <w:style w:type="character" w:customStyle="1" w:styleId="Heading9Char">
    <w:name w:val="Heading 9 Char"/>
    <w:aliases w:val="Chap AnnX Char"/>
    <w:basedOn w:val="DefaultParagraphFont"/>
    <w:link w:val="Heading9"/>
    <w:uiPriority w:val="20"/>
    <w:rsid w:val="001931F5"/>
    <w:rPr>
      <w:rFonts w:asciiTheme="majorHAnsi" w:eastAsiaTheme="majorEastAsia" w:hAnsiTheme="majorHAnsi" w:cstheme="majorBidi"/>
      <w:b/>
      <w:iCs/>
      <w:color w:val="4E81BD" w:themeColor="accent1"/>
      <w:sz w:val="48"/>
      <w:szCs w:val="21"/>
    </w:rPr>
  </w:style>
  <w:style w:type="character" w:customStyle="1" w:styleId="Heading7Char">
    <w:name w:val="Heading 7 Char"/>
    <w:aliases w:val="Doc AnnX Char"/>
    <w:basedOn w:val="DefaultParagraphFont"/>
    <w:link w:val="Heading7"/>
    <w:uiPriority w:val="19"/>
    <w:rsid w:val="001931F5"/>
    <w:rPr>
      <w:rFonts w:asciiTheme="majorHAnsi" w:eastAsiaTheme="majorEastAsia" w:hAnsiTheme="majorHAnsi" w:cstheme="majorBidi"/>
      <w:b/>
      <w:iCs/>
      <w:color w:val="4E81BD" w:themeColor="accent1"/>
      <w:sz w:val="48"/>
      <w:szCs w:val="21"/>
    </w:rPr>
  </w:style>
  <w:style w:type="character" w:customStyle="1" w:styleId="Heading8Char">
    <w:name w:val="Heading 8 Char"/>
    <w:aliases w:val="Part AnnX Char"/>
    <w:basedOn w:val="DefaultParagraphFont"/>
    <w:link w:val="Heading8"/>
    <w:uiPriority w:val="9"/>
    <w:rsid w:val="00B06D82"/>
    <w:rPr>
      <w:rFonts w:asciiTheme="majorHAnsi" w:eastAsiaTheme="majorEastAsia" w:hAnsiTheme="majorHAnsi" w:cstheme="majorBidi"/>
      <w:b/>
      <w:color w:val="4E81BD" w:themeColor="accent1"/>
      <w:sz w:val="28"/>
      <w:szCs w:val="21"/>
    </w:rPr>
  </w:style>
  <w:style w:type="paragraph" w:styleId="Title">
    <w:name w:val="Title"/>
    <w:next w:val="Para0"/>
    <w:link w:val="TitleChar"/>
    <w:qFormat/>
    <w:rsid w:val="00E951AC"/>
    <w:pPr>
      <w:keepNext/>
      <w:keepLines/>
      <w:pageBreakBefore/>
      <w:spacing w:after="2000" w:line="840" w:lineRule="exact"/>
      <w:outlineLvl w:val="0"/>
    </w:pPr>
    <w:rPr>
      <w:rFonts w:asciiTheme="majorHAnsi" w:eastAsiaTheme="majorEastAsia" w:hAnsiTheme="majorHAnsi" w:cstheme="majorBidi"/>
      <w:b/>
      <w:color w:val="4E81BD" w:themeColor="accent1"/>
      <w:sz w:val="72"/>
      <w:szCs w:val="56"/>
    </w:rPr>
  </w:style>
  <w:style w:type="character" w:customStyle="1" w:styleId="TitleChar">
    <w:name w:val="Title Char"/>
    <w:basedOn w:val="DefaultParagraphFont"/>
    <w:link w:val="Title"/>
    <w:rsid w:val="00E951AC"/>
    <w:rPr>
      <w:rFonts w:asciiTheme="majorHAnsi" w:eastAsiaTheme="majorEastAsia" w:hAnsiTheme="majorHAnsi" w:cstheme="majorBidi"/>
      <w:b/>
      <w:color w:val="4E81BD" w:themeColor="accent1"/>
      <w:sz w:val="72"/>
      <w:szCs w:val="56"/>
    </w:rPr>
  </w:style>
  <w:style w:type="paragraph" w:customStyle="1" w:styleId="Title2">
    <w:name w:val="Title 2"/>
    <w:next w:val="Para0"/>
    <w:uiPriority w:val="1"/>
    <w:qFormat/>
    <w:rsid w:val="00743381"/>
    <w:pPr>
      <w:keepNext/>
      <w:spacing w:before="360" w:after="240" w:line="320" w:lineRule="exact"/>
      <w:outlineLvl w:val="1"/>
    </w:pPr>
    <w:rPr>
      <w:rFonts w:eastAsiaTheme="majorEastAsia" w:cstheme="majorBidi"/>
      <w:b/>
      <w:color w:val="4E81BD" w:themeColor="accent1"/>
      <w:sz w:val="24"/>
      <w:szCs w:val="26"/>
    </w:rPr>
  </w:style>
  <w:style w:type="paragraph" w:customStyle="1" w:styleId="Title3">
    <w:name w:val="Title 3"/>
    <w:next w:val="Para0"/>
    <w:uiPriority w:val="2"/>
    <w:qFormat/>
    <w:rsid w:val="00743381"/>
    <w:pPr>
      <w:keepNext/>
      <w:spacing w:before="280" w:after="180" w:line="280" w:lineRule="exact"/>
      <w:outlineLvl w:val="2"/>
    </w:pPr>
    <w:rPr>
      <w:rFonts w:eastAsiaTheme="majorEastAsia" w:cstheme="majorBidi"/>
      <w:b/>
      <w:i/>
      <w:color w:val="000000" w:themeColor="text1"/>
      <w:szCs w:val="24"/>
    </w:rPr>
  </w:style>
  <w:style w:type="paragraph" w:customStyle="1" w:styleId="Abstract">
    <w:name w:val="Abstract"/>
    <w:uiPriority w:val="5"/>
    <w:qFormat/>
    <w:rsid w:val="007A76BA"/>
    <w:pPr>
      <w:pBdr>
        <w:top w:val="single" w:sz="12" w:space="12" w:color="4E81BD" w:themeColor="accent1"/>
        <w:bottom w:val="single" w:sz="36" w:space="12" w:color="4E81BD" w:themeColor="accent1"/>
      </w:pBdr>
      <w:spacing w:before="3000" w:after="60" w:line="320" w:lineRule="exact"/>
      <w:ind w:left="1247"/>
      <w:contextualSpacing/>
    </w:pPr>
    <w:rPr>
      <w:color w:val="4E81BD" w:themeColor="accent1"/>
      <w:sz w:val="24"/>
    </w:rPr>
  </w:style>
  <w:style w:type="paragraph" w:customStyle="1" w:styleId="Para">
    <w:name w:val="Para #"/>
    <w:basedOn w:val="Normal"/>
    <w:uiPriority w:val="4"/>
    <w:qFormat/>
    <w:rsid w:val="003570CA"/>
    <w:pPr>
      <w:widowControl/>
      <w:numPr>
        <w:numId w:val="11"/>
      </w:numPr>
      <w:spacing w:before="120" w:after="120" w:line="260" w:lineRule="atLeast"/>
    </w:pPr>
    <w:rPr>
      <w:sz w:val="20"/>
    </w:rPr>
  </w:style>
  <w:style w:type="paragraph" w:customStyle="1" w:styleId="NumberedList">
    <w:name w:val="Numbered List"/>
    <w:uiPriority w:val="12"/>
    <w:qFormat/>
    <w:rsid w:val="00991A9A"/>
    <w:pPr>
      <w:numPr>
        <w:numId w:val="12"/>
      </w:numPr>
      <w:spacing w:after="60" w:line="260" w:lineRule="exact"/>
      <w:jc w:val="both"/>
    </w:pPr>
    <w:rPr>
      <w:color w:val="000000" w:themeColor="text1"/>
      <w:sz w:val="20"/>
    </w:rPr>
  </w:style>
  <w:style w:type="paragraph" w:customStyle="1" w:styleId="BulletedList">
    <w:name w:val="Bulleted List"/>
    <w:uiPriority w:val="12"/>
    <w:qFormat/>
    <w:rsid w:val="00991A9A"/>
    <w:pPr>
      <w:numPr>
        <w:numId w:val="24"/>
      </w:numPr>
      <w:spacing w:after="60" w:line="260" w:lineRule="exact"/>
      <w:jc w:val="both"/>
    </w:pPr>
    <w:rPr>
      <w:color w:val="000000" w:themeColor="text1"/>
      <w:sz w:val="20"/>
    </w:rPr>
  </w:style>
  <w:style w:type="paragraph" w:styleId="ListParagraph">
    <w:name w:val="List Paragraph"/>
    <w:basedOn w:val="Normal"/>
    <w:uiPriority w:val="34"/>
    <w:semiHidden/>
    <w:rsid w:val="004230BA"/>
    <w:pPr>
      <w:ind w:left="720"/>
      <w:contextualSpacing/>
    </w:pPr>
  </w:style>
  <w:style w:type="paragraph" w:customStyle="1" w:styleId="CaptionSubtitle">
    <w:name w:val="Caption Subtitle"/>
    <w:next w:val="Para0"/>
    <w:qFormat/>
    <w:rsid w:val="008F0F84"/>
    <w:pPr>
      <w:keepNext/>
      <w:spacing w:after="180" w:line="260" w:lineRule="exact"/>
    </w:pPr>
    <w:rPr>
      <w:rFonts w:asciiTheme="majorHAnsi" w:hAnsiTheme="majorHAnsi"/>
      <w:color w:val="000000" w:themeColor="text1"/>
    </w:rPr>
  </w:style>
  <w:style w:type="paragraph" w:styleId="Caption">
    <w:name w:val="caption"/>
    <w:next w:val="CaptionSubtitle"/>
    <w:uiPriority w:val="35"/>
    <w:unhideWhenUsed/>
    <w:qFormat/>
    <w:rsid w:val="00196642"/>
    <w:pPr>
      <w:keepNext/>
      <w:spacing w:before="360" w:after="180" w:line="280" w:lineRule="exact"/>
    </w:pPr>
    <w:rPr>
      <w:rFonts w:asciiTheme="majorHAnsi" w:hAnsiTheme="majorHAnsi"/>
      <w:b/>
      <w:iCs/>
      <w:color w:val="4E81BD" w:themeColor="accent1"/>
      <w:sz w:val="24"/>
      <w:szCs w:val="18"/>
    </w:rPr>
  </w:style>
  <w:style w:type="paragraph" w:customStyle="1" w:styleId="BoxHeading">
    <w:name w:val="Box Heading"/>
    <w:next w:val="Para0"/>
    <w:uiPriority w:val="11"/>
    <w:qFormat/>
    <w:rsid w:val="002A2091"/>
    <w:pPr>
      <w:keepNext/>
      <w:spacing w:before="180" w:after="120"/>
    </w:pPr>
    <w:rPr>
      <w:rFonts w:asciiTheme="majorHAnsi" w:hAnsiTheme="majorHAnsi"/>
      <w:b/>
      <w:color w:val="000000" w:themeColor="text1"/>
    </w:rPr>
  </w:style>
  <w:style w:type="paragraph" w:customStyle="1" w:styleId="Sourcenotes">
    <w:name w:val="Source &amp; notes"/>
    <w:uiPriority w:val="16"/>
    <w:qFormat/>
    <w:rsid w:val="00991A9A"/>
    <w:pPr>
      <w:keepLines/>
      <w:spacing w:before="120" w:after="360" w:line="220" w:lineRule="exact"/>
      <w:contextualSpacing/>
      <w:jc w:val="both"/>
    </w:pPr>
    <w:rPr>
      <w:rFonts w:asciiTheme="majorHAnsi" w:hAnsiTheme="majorHAnsi"/>
      <w:color w:val="000000" w:themeColor="text1"/>
      <w:sz w:val="18"/>
    </w:rPr>
  </w:style>
  <w:style w:type="paragraph" w:customStyle="1" w:styleId="TableCell">
    <w:name w:val="Table Cell"/>
    <w:basedOn w:val="Normal"/>
    <w:uiPriority w:val="9"/>
    <w:qFormat/>
    <w:rsid w:val="00196642"/>
    <w:pPr>
      <w:spacing w:before="10" w:after="20" w:line="200" w:lineRule="exact"/>
      <w:jc w:val="right"/>
    </w:pPr>
    <w:rPr>
      <w:rFonts w:ascii="Arial Narrow" w:hAnsi="Arial Narrow"/>
      <w:color w:val="000000" w:themeColor="text1"/>
      <w:sz w:val="17"/>
    </w:rPr>
  </w:style>
  <w:style w:type="paragraph" w:customStyle="1" w:styleId="TableRow">
    <w:name w:val="Table Row"/>
    <w:qFormat/>
    <w:rsid w:val="00196642"/>
    <w:pPr>
      <w:spacing w:before="10" w:after="20" w:line="200" w:lineRule="exact"/>
    </w:pPr>
    <w:rPr>
      <w:rFonts w:ascii="Arial Narrow" w:hAnsi="Arial Narrow"/>
      <w:color w:val="000000" w:themeColor="text1"/>
      <w:sz w:val="17"/>
    </w:rPr>
  </w:style>
  <w:style w:type="paragraph" w:customStyle="1" w:styleId="TableColumn">
    <w:name w:val="Table Column"/>
    <w:qFormat/>
    <w:rsid w:val="00196642"/>
    <w:pPr>
      <w:spacing w:before="20" w:after="0" w:line="220" w:lineRule="exact"/>
      <w:jc w:val="center"/>
    </w:pPr>
    <w:rPr>
      <w:rFonts w:ascii="Arial Narrow" w:hAnsi="Arial Narrow"/>
      <w:color w:val="000000" w:themeColor="text1"/>
      <w:sz w:val="18"/>
    </w:rPr>
  </w:style>
  <w:style w:type="paragraph" w:customStyle="1" w:styleId="Quotationshort">
    <w:name w:val="Quotation (short)"/>
    <w:uiPriority w:val="17"/>
    <w:qFormat/>
    <w:rsid w:val="004A117A"/>
    <w:pPr>
      <w:spacing w:before="360" w:after="360" w:line="360" w:lineRule="exact"/>
      <w:ind w:left="2268"/>
      <w:jc w:val="both"/>
    </w:pPr>
    <w:rPr>
      <w:rFonts w:asciiTheme="majorHAnsi" w:hAnsiTheme="majorHAnsi"/>
      <w:iCs/>
      <w:color w:val="4E81BD" w:themeColor="accent1"/>
      <w:sz w:val="28"/>
    </w:rPr>
  </w:style>
  <w:style w:type="paragraph" w:styleId="Quote">
    <w:name w:val="Quote"/>
    <w:aliases w:val="Quotation (long)"/>
    <w:basedOn w:val="Normal"/>
    <w:link w:val="QuoteChar"/>
    <w:uiPriority w:val="29"/>
    <w:qFormat/>
    <w:rsid w:val="002E0230"/>
    <w:pPr>
      <w:widowControl/>
      <w:pBdr>
        <w:left w:val="single" w:sz="18" w:space="4" w:color="7F7F7F" w:themeColor="text1" w:themeTint="80"/>
      </w:pBdr>
      <w:spacing w:before="180" w:after="180"/>
      <w:ind w:left="680" w:right="680"/>
    </w:pPr>
    <w:rPr>
      <w:rFonts w:asciiTheme="majorHAnsi" w:hAnsiTheme="majorHAnsi"/>
      <w:i/>
      <w:iCs/>
      <w:color w:val="000000" w:themeColor="text1"/>
      <w:sz w:val="20"/>
    </w:rPr>
  </w:style>
  <w:style w:type="character" w:customStyle="1" w:styleId="QuoteChar">
    <w:name w:val="Quote Char"/>
    <w:aliases w:val="Quotation (long) Char"/>
    <w:basedOn w:val="DefaultParagraphFont"/>
    <w:link w:val="Quote"/>
    <w:uiPriority w:val="29"/>
    <w:rsid w:val="002E0230"/>
    <w:rPr>
      <w:rFonts w:asciiTheme="majorHAnsi" w:hAnsiTheme="majorHAnsi"/>
      <w:i/>
      <w:iCs/>
      <w:color w:val="000000" w:themeColor="text1"/>
      <w:sz w:val="20"/>
    </w:rPr>
  </w:style>
  <w:style w:type="paragraph" w:customStyle="1" w:styleId="AnnexH2">
    <w:name w:val="Annex H2"/>
    <w:next w:val="Para0"/>
    <w:uiPriority w:val="21"/>
    <w:qFormat/>
    <w:rsid w:val="00F76FA7"/>
    <w:pPr>
      <w:keepNext/>
      <w:spacing w:before="360" w:after="240" w:line="320" w:lineRule="exact"/>
      <w:outlineLvl w:val="2"/>
    </w:pPr>
    <w:rPr>
      <w:b/>
      <w:color w:val="4E81BD" w:themeColor="accent1"/>
      <w:sz w:val="24"/>
    </w:rPr>
  </w:style>
  <w:style w:type="paragraph" w:customStyle="1" w:styleId="AnnexH3">
    <w:name w:val="Annex H3"/>
    <w:next w:val="Para0"/>
    <w:uiPriority w:val="21"/>
    <w:qFormat/>
    <w:rsid w:val="00F76FA7"/>
    <w:pPr>
      <w:keepNext/>
      <w:keepLines/>
      <w:spacing w:before="280" w:after="180" w:line="280" w:lineRule="exact"/>
      <w:outlineLvl w:val="3"/>
    </w:pPr>
    <w:rPr>
      <w:b/>
      <w:i/>
      <w:color w:val="3F3F3F" w:themeColor="text2"/>
    </w:rPr>
  </w:style>
  <w:style w:type="paragraph" w:customStyle="1" w:styleId="Disclaimer">
    <w:name w:val="Disclaimer"/>
    <w:basedOn w:val="Para0"/>
    <w:rsid w:val="00326CAE"/>
    <w:pPr>
      <w:pBdr>
        <w:top w:val="single" w:sz="4" w:space="6" w:color="auto"/>
      </w:pBdr>
      <w:spacing w:before="0" w:line="220" w:lineRule="exact"/>
    </w:pPr>
    <w:rPr>
      <w:sz w:val="18"/>
    </w:rPr>
  </w:style>
  <w:style w:type="paragraph" w:customStyle="1" w:styleId="Action">
    <w:name w:val="Action"/>
    <w:basedOn w:val="Para0"/>
    <w:next w:val="Heading2"/>
    <w:rsid w:val="00326CAE"/>
    <w:rPr>
      <w:u w:val="single"/>
    </w:rPr>
  </w:style>
  <w:style w:type="paragraph" w:customStyle="1" w:styleId="Annotation">
    <w:name w:val="Annotation"/>
    <w:basedOn w:val="Normal"/>
    <w:rsid w:val="004243B4"/>
    <w:pPr>
      <w:numPr>
        <w:numId w:val="19"/>
      </w:numPr>
      <w:pBdr>
        <w:bottom w:val="single" w:sz="4" w:space="10" w:color="auto"/>
      </w:pBdr>
      <w:spacing w:before="120" w:after="120"/>
      <w:ind w:left="981" w:hanging="414"/>
      <w:jc w:val="left"/>
    </w:pPr>
  </w:style>
  <w:style w:type="paragraph" w:styleId="Bibliography">
    <w:name w:val="Bibliography"/>
    <w:basedOn w:val="Normal"/>
    <w:next w:val="Normal"/>
    <w:uiPriority w:val="37"/>
    <w:unhideWhenUsed/>
    <w:rsid w:val="00033E50"/>
    <w:pPr>
      <w:spacing w:after="60" w:line="260" w:lineRule="exact"/>
      <w:ind w:left="284" w:hanging="284"/>
      <w:jc w:val="left"/>
    </w:pPr>
    <w:rPr>
      <w:sz w:val="20"/>
    </w:rPr>
  </w:style>
  <w:style w:type="paragraph" w:customStyle="1" w:styleId="Break">
    <w:name w:val="Break"/>
    <w:basedOn w:val="Normal"/>
    <w:next w:val="Time"/>
    <w:rsid w:val="00CA2765"/>
    <w:pPr>
      <w:pBdr>
        <w:top w:val="single" w:sz="4" w:space="4" w:color="auto"/>
        <w:bottom w:val="single" w:sz="4" w:space="4" w:color="auto"/>
      </w:pBdr>
      <w:shd w:val="pct5" w:color="auto" w:fill="auto"/>
      <w:jc w:val="center"/>
    </w:pPr>
    <w:rPr>
      <w:i/>
    </w:rPr>
  </w:style>
  <w:style w:type="paragraph" w:customStyle="1" w:styleId="Time">
    <w:name w:val="Time"/>
    <w:basedOn w:val="Normal"/>
    <w:next w:val="Para0"/>
    <w:rsid w:val="00E67FB6"/>
    <w:pPr>
      <w:keepNext/>
      <w:spacing w:before="240" w:after="120"/>
      <w:ind w:left="851"/>
    </w:pPr>
    <w:rPr>
      <w:b/>
      <w:i/>
    </w:rPr>
  </w:style>
  <w:style w:type="paragraph" w:customStyle="1" w:styleId="Conclusion">
    <w:name w:val="Conclusion"/>
    <w:basedOn w:val="Para0"/>
    <w:next w:val="Heading1"/>
    <w:rsid w:val="0052749E"/>
    <w:pPr>
      <w:jc w:val="center"/>
    </w:pPr>
    <w:rPr>
      <w:b/>
    </w:rPr>
  </w:style>
  <w:style w:type="character" w:styleId="EndnoteReference">
    <w:name w:val="endnote reference"/>
    <w:basedOn w:val="DefaultParagraphFont"/>
    <w:uiPriority w:val="99"/>
    <w:semiHidden/>
    <w:unhideWhenUsed/>
    <w:rsid w:val="00F443C5"/>
    <w:rPr>
      <w:rFonts w:asciiTheme="minorHAnsi" w:hAnsiTheme="minorHAnsi"/>
      <w:sz w:val="22"/>
      <w:vertAlign w:val="superscript"/>
    </w:rPr>
  </w:style>
  <w:style w:type="paragraph" w:styleId="FootnoteText">
    <w:name w:val="footnote text"/>
    <w:link w:val="FootnoteTextChar"/>
    <w:uiPriority w:val="99"/>
    <w:semiHidden/>
    <w:unhideWhenUsed/>
    <w:rsid w:val="00EA6A82"/>
    <w:pPr>
      <w:spacing w:after="120" w:line="240" w:lineRule="exact"/>
      <w:jc w:val="both"/>
    </w:pPr>
    <w:rPr>
      <w:sz w:val="18"/>
      <w:szCs w:val="20"/>
    </w:rPr>
  </w:style>
  <w:style w:type="character" w:customStyle="1" w:styleId="FootnoteTextChar">
    <w:name w:val="Footnote Text Char"/>
    <w:basedOn w:val="DefaultParagraphFont"/>
    <w:link w:val="FootnoteText"/>
    <w:uiPriority w:val="99"/>
    <w:semiHidden/>
    <w:rsid w:val="00EA6A82"/>
    <w:rPr>
      <w:sz w:val="18"/>
      <w:szCs w:val="20"/>
    </w:rPr>
  </w:style>
  <w:style w:type="paragraph" w:styleId="EndnoteText">
    <w:name w:val="endnote text"/>
    <w:link w:val="EndnoteTextChar"/>
    <w:uiPriority w:val="99"/>
    <w:semiHidden/>
    <w:unhideWhenUsed/>
    <w:rsid w:val="000A5133"/>
    <w:pPr>
      <w:jc w:val="both"/>
    </w:pPr>
    <w:rPr>
      <w:sz w:val="20"/>
      <w:szCs w:val="20"/>
    </w:rPr>
  </w:style>
  <w:style w:type="character" w:customStyle="1" w:styleId="EndnoteTextChar">
    <w:name w:val="Endnote Text Char"/>
    <w:basedOn w:val="DefaultParagraphFont"/>
    <w:link w:val="EndnoteText"/>
    <w:uiPriority w:val="99"/>
    <w:semiHidden/>
    <w:rsid w:val="000A5133"/>
    <w:rPr>
      <w:sz w:val="20"/>
      <w:szCs w:val="20"/>
    </w:rPr>
  </w:style>
  <w:style w:type="paragraph" w:customStyle="1" w:styleId="Figure">
    <w:name w:val="Figure"/>
    <w:basedOn w:val="Normal"/>
    <w:rsid w:val="000E2815"/>
    <w:pPr>
      <w:jc w:val="center"/>
    </w:pPr>
  </w:style>
  <w:style w:type="paragraph" w:styleId="Footer">
    <w:name w:val="footer"/>
    <w:basedOn w:val="Normal"/>
    <w:link w:val="FooterChar"/>
    <w:uiPriority w:val="99"/>
    <w:rsid w:val="00404A52"/>
    <w:pPr>
      <w:tabs>
        <w:tab w:val="center" w:pos="4513"/>
        <w:tab w:val="right" w:pos="9026"/>
      </w:tabs>
      <w:spacing w:before="120"/>
      <w:jc w:val="center"/>
    </w:pPr>
    <w:rPr>
      <w:caps/>
      <w:sz w:val="16"/>
    </w:rPr>
  </w:style>
  <w:style w:type="character" w:customStyle="1" w:styleId="FooterChar">
    <w:name w:val="Footer Char"/>
    <w:basedOn w:val="DefaultParagraphFont"/>
    <w:link w:val="Footer"/>
    <w:uiPriority w:val="99"/>
    <w:rsid w:val="00404A52"/>
    <w:rPr>
      <w:caps/>
      <w:sz w:val="16"/>
    </w:rPr>
  </w:style>
  <w:style w:type="paragraph" w:customStyle="1" w:styleId="Para1">
    <w:name w:val="Para #.#"/>
    <w:basedOn w:val="Para"/>
    <w:uiPriority w:val="4"/>
    <w:rsid w:val="00EC45EF"/>
    <w:pPr>
      <w:tabs>
        <w:tab w:val="left" w:pos="1361"/>
      </w:tabs>
    </w:pPr>
  </w:style>
  <w:style w:type="paragraph" w:customStyle="1" w:styleId="CoverNormal">
    <w:name w:val="CoverNormal"/>
    <w:basedOn w:val="Normal"/>
    <w:link w:val="CoverNormalChar"/>
    <w:rsid w:val="00EF6B7C"/>
    <w:pPr>
      <w:jc w:val="left"/>
    </w:pPr>
    <w:rPr>
      <w:rFonts w:asciiTheme="majorHAnsi" w:hAnsiTheme="majorHAnsi"/>
    </w:rPr>
  </w:style>
  <w:style w:type="character" w:customStyle="1" w:styleId="CoverNormalChar">
    <w:name w:val="CoverNormal Char"/>
    <w:basedOn w:val="DefaultParagraphFont"/>
    <w:link w:val="CoverNormal"/>
    <w:rsid w:val="00EF6B7C"/>
    <w:rPr>
      <w:rFonts w:asciiTheme="majorHAnsi" w:hAnsiTheme="majorHAnsi"/>
    </w:rPr>
  </w:style>
  <w:style w:type="paragraph" w:customStyle="1" w:styleId="CoverAbstract">
    <w:name w:val="CoverAbstract"/>
    <w:basedOn w:val="CoverNormal"/>
    <w:semiHidden/>
    <w:rsid w:val="00EC45EF"/>
  </w:style>
  <w:style w:type="paragraph" w:customStyle="1" w:styleId="CoverCancel">
    <w:name w:val="CoverCancel"/>
    <w:basedOn w:val="CoverNormal"/>
    <w:link w:val="CoverCancelChar"/>
    <w:rsid w:val="00EC45EF"/>
    <w:pPr>
      <w:spacing w:before="240" w:after="120" w:line="312" w:lineRule="auto"/>
      <w:jc w:val="center"/>
    </w:pPr>
    <w:rPr>
      <w:b/>
    </w:rPr>
  </w:style>
  <w:style w:type="character" w:customStyle="1" w:styleId="CoverCancelChar">
    <w:name w:val="CoverCancel Char"/>
    <w:basedOn w:val="DefaultParagraphFont"/>
    <w:link w:val="CoverCancel"/>
    <w:rsid w:val="00FB0CE9"/>
    <w:rPr>
      <w:rFonts w:ascii="Times New Roman" w:hAnsi="Times New Roman"/>
      <w:b/>
    </w:rPr>
  </w:style>
  <w:style w:type="paragraph" w:customStyle="1" w:styleId="CoverClassification">
    <w:name w:val="CoverClassification"/>
    <w:basedOn w:val="CoverNormal"/>
    <w:rsid w:val="00EC45EF"/>
    <w:rPr>
      <w:b/>
    </w:rPr>
  </w:style>
  <w:style w:type="paragraph" w:customStyle="1" w:styleId="CoverCommittee">
    <w:name w:val="CoverCommittee"/>
    <w:basedOn w:val="CoverNormal"/>
    <w:rsid w:val="00EC45EF"/>
    <w:rPr>
      <w:b/>
    </w:rPr>
  </w:style>
  <w:style w:type="character" w:customStyle="1" w:styleId="CoverCote">
    <w:name w:val="CoverCote"/>
    <w:basedOn w:val="DefaultParagraphFont"/>
    <w:uiPriority w:val="1"/>
    <w:rsid w:val="00EF6B7C"/>
    <w:rPr>
      <w:rFonts w:asciiTheme="majorHAnsi" w:hAnsiTheme="majorHAnsi"/>
      <w:b/>
      <w:caps/>
      <w:smallCaps w:val="0"/>
      <w:sz w:val="22"/>
    </w:rPr>
  </w:style>
  <w:style w:type="paragraph" w:customStyle="1" w:styleId="CoverDate">
    <w:name w:val="CoverDate"/>
    <w:basedOn w:val="CoverNormal"/>
    <w:link w:val="CoverDateChar"/>
    <w:rsid w:val="00EC45EF"/>
    <w:pPr>
      <w:spacing w:before="40" w:after="40"/>
      <w:jc w:val="right"/>
    </w:pPr>
    <w:rPr>
      <w:b/>
      <w:sz w:val="18"/>
    </w:rPr>
  </w:style>
  <w:style w:type="character" w:customStyle="1" w:styleId="CoverDateChar">
    <w:name w:val="CoverDate Char"/>
    <w:basedOn w:val="CoverNormalChar"/>
    <w:link w:val="CoverDate"/>
    <w:rsid w:val="00FB0CE9"/>
    <w:rPr>
      <w:rFonts w:ascii="Times New Roman" w:hAnsi="Times New Roman"/>
      <w:b/>
      <w:sz w:val="18"/>
    </w:rPr>
  </w:style>
  <w:style w:type="paragraph" w:customStyle="1" w:styleId="CoverDisclaimer">
    <w:name w:val="CoverDisclaimer"/>
    <w:basedOn w:val="CoverNormal"/>
    <w:rsid w:val="00C3172F"/>
    <w:pPr>
      <w:spacing w:line="312" w:lineRule="auto"/>
      <w:jc w:val="both"/>
    </w:pPr>
    <w:rPr>
      <w:b/>
      <w:i/>
      <w:sz w:val="16"/>
    </w:rPr>
  </w:style>
  <w:style w:type="paragraph" w:customStyle="1" w:styleId="CoverInformation">
    <w:name w:val="CoverInformation"/>
    <w:basedOn w:val="CoverNormal"/>
    <w:rsid w:val="00EF6B7C"/>
  </w:style>
  <w:style w:type="paragraph" w:customStyle="1" w:styleId="CoverJobTicket">
    <w:name w:val="CoverJobTicket"/>
    <w:basedOn w:val="CoverNormal"/>
    <w:rsid w:val="00C3172F"/>
    <w:rPr>
      <w:b/>
    </w:rPr>
  </w:style>
  <w:style w:type="paragraph" w:customStyle="1" w:styleId="CoverLanguage">
    <w:name w:val="CoverLanguage"/>
    <w:basedOn w:val="CoverNormal"/>
    <w:rsid w:val="00C3172F"/>
    <w:pPr>
      <w:jc w:val="right"/>
    </w:pPr>
    <w:rPr>
      <w:b/>
    </w:rPr>
  </w:style>
  <w:style w:type="paragraph" w:customStyle="1" w:styleId="CoverPwbCode">
    <w:name w:val="CoverPwbCode"/>
    <w:basedOn w:val="CoverNormal"/>
    <w:rsid w:val="00C3172F"/>
    <w:pPr>
      <w:spacing w:after="120"/>
    </w:pPr>
    <w:rPr>
      <w:b/>
    </w:rPr>
  </w:style>
  <w:style w:type="paragraph" w:customStyle="1" w:styleId="CoverSeriesTitlePublication">
    <w:name w:val="CoverSeriesTitlePublication"/>
    <w:basedOn w:val="CoverNormal"/>
    <w:rsid w:val="00C3172F"/>
    <w:pPr>
      <w:spacing w:after="40"/>
    </w:pPr>
    <w:rPr>
      <w:sz w:val="32"/>
    </w:rPr>
  </w:style>
  <w:style w:type="paragraph" w:customStyle="1" w:styleId="CoverSubTitle">
    <w:name w:val="CoverSubTitle"/>
    <w:basedOn w:val="CoverNormal"/>
    <w:link w:val="CoverSubTitleChar"/>
    <w:rsid w:val="00C3172F"/>
    <w:rPr>
      <w:b/>
    </w:rPr>
  </w:style>
  <w:style w:type="character" w:customStyle="1" w:styleId="CoverSubTitleChar">
    <w:name w:val="CoverSubTitle Char"/>
    <w:basedOn w:val="DefaultParagraphFont"/>
    <w:link w:val="CoverSubTitle"/>
    <w:rsid w:val="00FB0CE9"/>
    <w:rPr>
      <w:rFonts w:ascii="Times New Roman" w:hAnsi="Times New Roman"/>
      <w:b/>
    </w:rPr>
  </w:style>
  <w:style w:type="paragraph" w:customStyle="1" w:styleId="CoverSubtitlePublication">
    <w:name w:val="CoverSubtitlePublication"/>
    <w:basedOn w:val="CoverNormal"/>
    <w:rsid w:val="00C3172F"/>
    <w:pPr>
      <w:jc w:val="center"/>
    </w:pPr>
    <w:rPr>
      <w:sz w:val="40"/>
    </w:rPr>
  </w:style>
  <w:style w:type="character" w:customStyle="1" w:styleId="CoverTable">
    <w:name w:val="CoverTable"/>
    <w:uiPriority w:val="1"/>
    <w:semiHidden/>
    <w:rsid w:val="00C3172F"/>
  </w:style>
  <w:style w:type="paragraph" w:customStyle="1" w:styleId="CoverTitle">
    <w:name w:val="CoverTitle"/>
    <w:basedOn w:val="CoverNormal"/>
    <w:link w:val="CoverTitleChar"/>
    <w:rsid w:val="00C3172F"/>
    <w:pPr>
      <w:spacing w:after="240"/>
    </w:pPr>
    <w:rPr>
      <w:b/>
      <w:sz w:val="24"/>
    </w:rPr>
  </w:style>
  <w:style w:type="character" w:customStyle="1" w:styleId="CoverTitleChar">
    <w:name w:val="CoverTitle Char"/>
    <w:basedOn w:val="DefaultParagraphFont"/>
    <w:link w:val="CoverTitle"/>
    <w:rsid w:val="00FB0CE9"/>
    <w:rPr>
      <w:rFonts w:ascii="Times New Roman" w:hAnsi="Times New Roman"/>
      <w:b/>
      <w:sz w:val="24"/>
    </w:rPr>
  </w:style>
  <w:style w:type="paragraph" w:customStyle="1" w:styleId="CoverTitlePublication">
    <w:name w:val="CoverTitlePublication"/>
    <w:basedOn w:val="CoverNormal"/>
    <w:rsid w:val="00C3172F"/>
    <w:pPr>
      <w:jc w:val="center"/>
    </w:pPr>
    <w:rPr>
      <w:b/>
      <w:sz w:val="52"/>
    </w:rPr>
  </w:style>
  <w:style w:type="paragraph" w:customStyle="1" w:styleId="CoverWorkingParty">
    <w:name w:val="CoverWorkingParty"/>
    <w:basedOn w:val="CoverNormal"/>
    <w:rsid w:val="00C3172F"/>
    <w:rPr>
      <w:b/>
      <w:sz w:val="24"/>
    </w:rPr>
  </w:style>
  <w:style w:type="paragraph" w:customStyle="1" w:styleId="FooterClassification">
    <w:name w:val="Footer Classification"/>
    <w:basedOn w:val="Normal"/>
    <w:rsid w:val="00404A52"/>
    <w:pPr>
      <w:jc w:val="right"/>
    </w:pPr>
    <w:rPr>
      <w:sz w:val="16"/>
    </w:rPr>
  </w:style>
  <w:style w:type="character" w:styleId="FootnoteReference">
    <w:name w:val="footnote reference"/>
    <w:basedOn w:val="DefaultParagraphFont"/>
    <w:uiPriority w:val="99"/>
    <w:semiHidden/>
    <w:unhideWhenUsed/>
    <w:rsid w:val="00F443C5"/>
    <w:rPr>
      <w:rFonts w:asciiTheme="minorHAnsi" w:hAnsiTheme="minorHAnsi"/>
      <w:sz w:val="22"/>
      <w:vertAlign w:val="superscript"/>
    </w:rPr>
  </w:style>
  <w:style w:type="paragraph" w:customStyle="1" w:styleId="GroupHeading">
    <w:name w:val="Group Heading"/>
    <w:basedOn w:val="Normal"/>
    <w:next w:val="Para0"/>
    <w:rsid w:val="00CC1A99"/>
    <w:pPr>
      <w:keepNext/>
      <w:numPr>
        <w:numId w:val="20"/>
      </w:numPr>
      <w:pBdr>
        <w:top w:val="single" w:sz="4" w:space="1" w:color="auto"/>
      </w:pBdr>
      <w:tabs>
        <w:tab w:val="num" w:pos="360"/>
      </w:tabs>
      <w:spacing w:after="120"/>
      <w:ind w:left="357" w:hanging="357"/>
      <w:jc w:val="left"/>
    </w:pPr>
    <w:rPr>
      <w:b/>
      <w:i/>
      <w:color w:val="4E81BD"/>
    </w:rPr>
  </w:style>
  <w:style w:type="paragraph" w:styleId="Header">
    <w:name w:val="header"/>
    <w:basedOn w:val="Normal"/>
    <w:link w:val="HeaderChar"/>
    <w:uiPriority w:val="99"/>
    <w:rsid w:val="00CC1A99"/>
    <w:pPr>
      <w:tabs>
        <w:tab w:val="center" w:pos="4513"/>
        <w:tab w:val="right" w:pos="9026"/>
      </w:tabs>
    </w:pPr>
  </w:style>
  <w:style w:type="character" w:customStyle="1" w:styleId="HeaderChar">
    <w:name w:val="Header Char"/>
    <w:basedOn w:val="DefaultParagraphFont"/>
    <w:link w:val="Header"/>
    <w:uiPriority w:val="99"/>
    <w:rsid w:val="0056606B"/>
    <w:rPr>
      <w:rFonts w:ascii="Times New Roman" w:hAnsi="Times New Roman"/>
    </w:rPr>
  </w:style>
  <w:style w:type="character" w:customStyle="1" w:styleId="HeaderCoteChar">
    <w:name w:val="Header Cote (Char)"/>
    <w:basedOn w:val="DefaultParagraphFont"/>
    <w:uiPriority w:val="1"/>
    <w:semiHidden/>
    <w:rsid w:val="00CC1A99"/>
    <w:rPr>
      <w:rFonts w:ascii="Times New Roman" w:hAnsi="Times New Roman"/>
      <w:sz w:val="22"/>
    </w:rPr>
  </w:style>
  <w:style w:type="paragraph" w:customStyle="1" w:styleId="HeaderOdd">
    <w:name w:val="Header Odd"/>
    <w:basedOn w:val="Normal"/>
    <w:next w:val="Normal"/>
    <w:rsid w:val="004E4993"/>
    <w:pPr>
      <w:pBdr>
        <w:bottom w:val="single" w:sz="4" w:space="0" w:color="auto"/>
      </w:pBdr>
      <w:jc w:val="right"/>
    </w:pPr>
    <w:rPr>
      <w:sz w:val="2"/>
    </w:rPr>
  </w:style>
  <w:style w:type="paragraph" w:customStyle="1" w:styleId="HeaderEven">
    <w:name w:val="Header Even"/>
    <w:basedOn w:val="HeaderOdd"/>
    <w:rsid w:val="004E4993"/>
    <w:pPr>
      <w:jc w:val="left"/>
    </w:pPr>
  </w:style>
  <w:style w:type="character" w:customStyle="1" w:styleId="HeaderTitle">
    <w:name w:val="Header Title"/>
    <w:uiPriority w:val="1"/>
    <w:rsid w:val="00D43B52"/>
    <w:rPr>
      <w:rFonts w:asciiTheme="minorHAnsi" w:hAnsiTheme="minorHAnsi"/>
      <w:caps/>
      <w:smallCaps w:val="0"/>
      <w:sz w:val="18"/>
    </w:rPr>
  </w:style>
  <w:style w:type="paragraph" w:customStyle="1" w:styleId="ImportantInformation">
    <w:name w:val="Important Information"/>
    <w:basedOn w:val="Para0"/>
    <w:rsid w:val="003957E7"/>
    <w:pPr>
      <w:spacing w:after="480"/>
      <w:ind w:left="284" w:right="284"/>
      <w:jc w:val="center"/>
    </w:pPr>
  </w:style>
  <w:style w:type="paragraph" w:customStyle="1" w:styleId="Notes">
    <w:name w:val="Notes"/>
    <w:basedOn w:val="Normal"/>
    <w:rsid w:val="00024178"/>
    <w:pPr>
      <w:keepNext/>
      <w:keepLines/>
      <w:spacing w:before="120"/>
      <w:ind w:left="680" w:right="680"/>
      <w:contextualSpacing/>
    </w:pPr>
    <w:rPr>
      <w:sz w:val="18"/>
    </w:rPr>
  </w:style>
  <w:style w:type="character" w:styleId="PageNumber">
    <w:name w:val="page number"/>
    <w:basedOn w:val="DefaultParagraphFont"/>
    <w:uiPriority w:val="99"/>
    <w:rsid w:val="00D43B52"/>
    <w:rPr>
      <w:rFonts w:asciiTheme="minorHAnsi" w:hAnsiTheme="minorHAnsi"/>
      <w:b/>
      <w:sz w:val="22"/>
    </w:rPr>
  </w:style>
  <w:style w:type="paragraph" w:customStyle="1" w:styleId="ProposedAction">
    <w:name w:val="Proposed Action"/>
    <w:basedOn w:val="Para0"/>
    <w:rsid w:val="003E0362"/>
    <w:pPr>
      <w:numPr>
        <w:numId w:val="21"/>
      </w:numPr>
      <w:tabs>
        <w:tab w:val="num" w:pos="360"/>
        <w:tab w:val="left" w:pos="425"/>
      </w:tabs>
      <w:spacing w:before="0" w:after="240"/>
      <w:ind w:left="2268" w:hanging="425"/>
    </w:pPr>
  </w:style>
  <w:style w:type="paragraph" w:customStyle="1" w:styleId="RefDocuments">
    <w:name w:val="Ref Documents"/>
    <w:basedOn w:val="Para0"/>
    <w:next w:val="Annotation"/>
    <w:rsid w:val="00E53877"/>
    <w:pPr>
      <w:ind w:left="7371"/>
      <w:contextualSpacing/>
    </w:pPr>
  </w:style>
  <w:style w:type="paragraph" w:customStyle="1" w:styleId="Session">
    <w:name w:val="Session"/>
    <w:basedOn w:val="Normal"/>
    <w:next w:val="Time"/>
    <w:rsid w:val="002C1DD6"/>
    <w:pPr>
      <w:keepNext/>
      <w:spacing w:after="240"/>
      <w:jc w:val="left"/>
    </w:pPr>
    <w:rPr>
      <w:i/>
      <w:u w:val="single"/>
    </w:rPr>
  </w:style>
  <w:style w:type="paragraph" w:customStyle="1" w:styleId="SpecialItem">
    <w:name w:val="Special Item"/>
    <w:basedOn w:val="Normal"/>
    <w:next w:val="Time"/>
    <w:rsid w:val="002C1DD6"/>
    <w:pPr>
      <w:spacing w:before="240" w:after="240"/>
    </w:pPr>
    <w:rPr>
      <w:i/>
    </w:rPr>
  </w:style>
  <w:style w:type="character" w:customStyle="1" w:styleId="StatLinkDOI">
    <w:name w:val="StatLink DOI"/>
    <w:basedOn w:val="DefaultParagraphFont"/>
    <w:uiPriority w:val="1"/>
    <w:rsid w:val="00366BED"/>
    <w:rPr>
      <w:rFonts w:asciiTheme="majorHAnsi" w:hAnsiTheme="majorHAnsi"/>
      <w:sz w:val="18"/>
    </w:rPr>
  </w:style>
  <w:style w:type="paragraph" w:customStyle="1" w:styleId="StatLinkLogo">
    <w:name w:val="StatLink Logo"/>
    <w:basedOn w:val="Para0"/>
    <w:next w:val="Para0"/>
    <w:rsid w:val="00196642"/>
    <w:pPr>
      <w:spacing w:before="0" w:after="240" w:line="240" w:lineRule="auto"/>
      <w:jc w:val="right"/>
    </w:pPr>
    <w:rPr>
      <w:rFonts w:ascii="StatLink" w:hAnsi="StatLink"/>
      <w:sz w:val="18"/>
    </w:rPr>
  </w:style>
  <w:style w:type="paragraph" w:styleId="TableofFigures">
    <w:name w:val="table of figures"/>
    <w:next w:val="Normal"/>
    <w:uiPriority w:val="99"/>
    <w:rsid w:val="00907E59"/>
    <w:pPr>
      <w:tabs>
        <w:tab w:val="right" w:pos="9072"/>
      </w:tabs>
      <w:spacing w:after="0" w:line="220" w:lineRule="exact"/>
      <w:ind w:right="510"/>
    </w:pPr>
    <w:rPr>
      <w:color w:val="000000" w:themeColor="text1"/>
      <w:sz w:val="18"/>
    </w:rPr>
  </w:style>
  <w:style w:type="paragraph" w:styleId="TOC1">
    <w:name w:val="toc 1"/>
    <w:next w:val="Normal"/>
    <w:uiPriority w:val="39"/>
    <w:unhideWhenUsed/>
    <w:rsid w:val="00160B10"/>
    <w:pPr>
      <w:keepNext/>
      <w:tabs>
        <w:tab w:val="right" w:pos="9072"/>
      </w:tabs>
      <w:spacing w:before="240" w:after="40" w:line="300" w:lineRule="exact"/>
      <w:ind w:left="284" w:right="652" w:hanging="284"/>
    </w:pPr>
    <w:rPr>
      <w:rFonts w:asciiTheme="majorHAnsi" w:hAnsiTheme="majorHAnsi"/>
      <w:color w:val="4E81BD" w:themeColor="accent1"/>
      <w:sz w:val="28"/>
    </w:rPr>
  </w:style>
  <w:style w:type="paragraph" w:styleId="TOC2">
    <w:name w:val="toc 2"/>
    <w:next w:val="Normal"/>
    <w:uiPriority w:val="39"/>
    <w:unhideWhenUsed/>
    <w:rsid w:val="00A81F07"/>
    <w:pPr>
      <w:tabs>
        <w:tab w:val="right" w:pos="9072"/>
      </w:tabs>
      <w:spacing w:before="20" w:after="20" w:line="240" w:lineRule="exact"/>
      <w:ind w:left="284" w:right="510"/>
    </w:pPr>
    <w:rPr>
      <w:color w:val="000000" w:themeColor="text1"/>
      <w:sz w:val="20"/>
    </w:rPr>
  </w:style>
  <w:style w:type="paragraph" w:styleId="TOC3">
    <w:name w:val="toc 3"/>
    <w:next w:val="Normal"/>
    <w:autoRedefine/>
    <w:uiPriority w:val="39"/>
    <w:unhideWhenUsed/>
    <w:rsid w:val="00C03067"/>
    <w:pPr>
      <w:tabs>
        <w:tab w:val="right" w:pos="9072"/>
      </w:tabs>
      <w:spacing w:after="0" w:line="240" w:lineRule="exact"/>
      <w:ind w:left="454" w:right="510"/>
    </w:pPr>
    <w:rPr>
      <w:color w:val="000000" w:themeColor="text1"/>
      <w:sz w:val="20"/>
    </w:rPr>
  </w:style>
  <w:style w:type="paragraph" w:styleId="TOC4">
    <w:name w:val="toc 4"/>
    <w:basedOn w:val="Normal"/>
    <w:next w:val="Normal"/>
    <w:uiPriority w:val="39"/>
    <w:semiHidden/>
    <w:unhideWhenUsed/>
    <w:rsid w:val="0025481A"/>
    <w:pPr>
      <w:tabs>
        <w:tab w:val="right" w:leader="dot" w:pos="9072"/>
      </w:tabs>
      <w:ind w:left="595" w:right="510"/>
      <w:jc w:val="left"/>
    </w:pPr>
  </w:style>
  <w:style w:type="paragraph" w:styleId="TOC5">
    <w:name w:val="toc 5"/>
    <w:aliases w:val="Annotated Item"/>
    <w:basedOn w:val="Normal"/>
    <w:next w:val="Normal"/>
    <w:uiPriority w:val="39"/>
    <w:semiHidden/>
    <w:unhideWhenUsed/>
    <w:rsid w:val="0025481A"/>
    <w:pPr>
      <w:keepNext/>
      <w:spacing w:after="120"/>
    </w:pPr>
    <w:rPr>
      <w:b/>
      <w:color w:val="4E81BD"/>
    </w:rPr>
  </w:style>
  <w:style w:type="paragraph" w:styleId="TOCHeading">
    <w:name w:val="TOC Heading"/>
    <w:next w:val="Normal"/>
    <w:uiPriority w:val="39"/>
    <w:unhideWhenUsed/>
    <w:rsid w:val="00462721"/>
    <w:pPr>
      <w:keepNext/>
      <w:pageBreakBefore/>
      <w:spacing w:after="2000"/>
    </w:pPr>
    <w:rPr>
      <w:rFonts w:asciiTheme="majorHAnsi" w:eastAsiaTheme="majorEastAsia" w:hAnsiTheme="majorHAnsi" w:cstheme="majorBidi"/>
      <w:b/>
      <w:color w:val="4E81BD" w:themeColor="accent1"/>
      <w:sz w:val="72"/>
      <w:szCs w:val="32"/>
    </w:rPr>
  </w:style>
  <w:style w:type="paragraph" w:styleId="Subtitle">
    <w:name w:val="Subtitle"/>
    <w:next w:val="Para0"/>
    <w:link w:val="SubtitleChar"/>
    <w:uiPriority w:val="11"/>
    <w:rsid w:val="00160B10"/>
    <w:pPr>
      <w:keepNext/>
      <w:numPr>
        <w:ilvl w:val="1"/>
      </w:numPr>
      <w:spacing w:before="240" w:after="120" w:line="240" w:lineRule="exact"/>
    </w:pPr>
    <w:rPr>
      <w:rFonts w:asciiTheme="majorHAnsi" w:eastAsiaTheme="minorEastAsia" w:hAnsiTheme="majorHAnsi"/>
      <w:b/>
      <w:color w:val="4E81BD" w:themeColor="accent1"/>
      <w:sz w:val="24"/>
    </w:rPr>
  </w:style>
  <w:style w:type="character" w:customStyle="1" w:styleId="SubtitleChar">
    <w:name w:val="Subtitle Char"/>
    <w:basedOn w:val="DefaultParagraphFont"/>
    <w:link w:val="Subtitle"/>
    <w:uiPriority w:val="11"/>
    <w:rsid w:val="00160B10"/>
    <w:rPr>
      <w:rFonts w:asciiTheme="majorHAnsi" w:eastAsiaTheme="minorEastAsia" w:hAnsiTheme="majorHAnsi"/>
      <w:b/>
      <w:color w:val="4E81BD" w:themeColor="accent1"/>
      <w:sz w:val="24"/>
    </w:rPr>
  </w:style>
  <w:style w:type="character" w:styleId="PlaceholderText">
    <w:name w:val="Placeholder Text"/>
    <w:basedOn w:val="DefaultParagraphFont"/>
    <w:uiPriority w:val="99"/>
    <w:semiHidden/>
    <w:rsid w:val="00CC3749"/>
    <w:rPr>
      <w:color w:val="808080"/>
    </w:rPr>
  </w:style>
  <w:style w:type="paragraph" w:customStyle="1" w:styleId="CoverDirectorate">
    <w:name w:val="CoverDirectorate"/>
    <w:basedOn w:val="CoverNormal"/>
    <w:link w:val="CoverDirectorateChar"/>
    <w:rsid w:val="004529B7"/>
    <w:rPr>
      <w:b/>
    </w:rPr>
  </w:style>
  <w:style w:type="character" w:customStyle="1" w:styleId="CoverDirectorateChar">
    <w:name w:val="CoverDirectorate Char"/>
    <w:basedOn w:val="CoverNormalChar"/>
    <w:link w:val="CoverDirectorate"/>
    <w:rsid w:val="00FB0CE9"/>
    <w:rPr>
      <w:rFonts w:ascii="Times New Roman" w:hAnsi="Times New Roman"/>
      <w:b/>
    </w:rPr>
  </w:style>
  <w:style w:type="table" w:styleId="TableGrid">
    <w:name w:val="Table Grid"/>
    <w:basedOn w:val="TableNormal"/>
    <w:uiPriority w:val="59"/>
    <w:rsid w:val="00992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1C3F"/>
    <w:rPr>
      <w:color w:val="0000FF" w:themeColor="hyperlink"/>
      <w:u w:val="single"/>
    </w:rPr>
  </w:style>
  <w:style w:type="table" w:customStyle="1" w:styleId="OECDOld">
    <w:name w:val="OECD Old"/>
    <w:basedOn w:val="LightShading-Accent1"/>
    <w:uiPriority w:val="99"/>
    <w:rsid w:val="00D95933"/>
    <w:rPr>
      <w:rFonts w:ascii="Georgia" w:eastAsia="Times New Roman" w:hAnsi="Georgia" w:cs="Times New Roman"/>
      <w:sz w:val="20"/>
      <w:szCs w:val="20"/>
      <w:lang w:val="en-US" w:eastAsia="en-GB"/>
    </w:rPr>
    <w:tblPr>
      <w:jc w:val="center"/>
      <w:tblBorders>
        <w:top w:val="none" w:sz="0" w:space="0" w:color="auto"/>
        <w:bottom w:val="single" w:sz="12" w:space="0" w:color="auto"/>
      </w:tblBorders>
    </w:tblPr>
    <w:trPr>
      <w:jc w:val="center"/>
    </w:trPr>
    <w:tcPr>
      <w:shd w:val="clear" w:color="auto" w:fill="FFFFFF" w:themeFill="background1"/>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hemeFill="background1"/>
      </w:tcPr>
    </w:tblStylePr>
  </w:style>
  <w:style w:type="table" w:styleId="LightShading-Accent1">
    <w:name w:val="Light Shading Accent 1"/>
    <w:basedOn w:val="TableNormal"/>
    <w:uiPriority w:val="60"/>
    <w:semiHidden/>
    <w:unhideWhenUsed/>
    <w:rsid w:val="005A6B81"/>
    <w:pPr>
      <w:spacing w:after="0" w:line="240" w:lineRule="auto"/>
    </w:pPr>
    <w:rPr>
      <w:color w:val="366091" w:themeColor="accent1" w:themeShade="BF"/>
    </w:rPr>
    <w:tblPr>
      <w:tblStyleRowBandSize w:val="1"/>
      <w:tblStyleColBandSize w:val="1"/>
      <w:tblBorders>
        <w:top w:val="single" w:sz="8" w:space="0" w:color="4E81BD" w:themeColor="accent1"/>
        <w:bottom w:val="single" w:sz="8" w:space="0" w:color="4E81BD" w:themeColor="accent1"/>
      </w:tblBorders>
    </w:tblPr>
    <w:tblStylePr w:type="fir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la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raOpener">
    <w:name w:val="Para Opener"/>
    <w:next w:val="Para0"/>
    <w:uiPriority w:val="11"/>
    <w:qFormat/>
    <w:rsid w:val="00991A9A"/>
    <w:pPr>
      <w:spacing w:before="240" w:after="240" w:line="320" w:lineRule="exact"/>
      <w:jc w:val="both"/>
    </w:pPr>
    <w:rPr>
      <w:rFonts w:asciiTheme="majorHAnsi" w:hAnsiTheme="majorHAnsi"/>
      <w:color w:val="4E81BD" w:themeColor="accent1"/>
      <w:sz w:val="24"/>
    </w:rPr>
  </w:style>
  <w:style w:type="paragraph" w:customStyle="1" w:styleId="InBriefOpener">
    <w:name w:val="InBrief Opener"/>
    <w:rsid w:val="00635AEE"/>
    <w:pPr>
      <w:pageBreakBefore/>
      <w:spacing w:after="120" w:line="1040" w:lineRule="exact"/>
      <w:ind w:right="680"/>
    </w:pPr>
    <w:rPr>
      <w:rFonts w:asciiTheme="majorHAnsi" w:hAnsiTheme="majorHAnsi"/>
      <w:b/>
      <w:color w:val="4E81BD" w:themeColor="accent1"/>
      <w:sz w:val="96"/>
    </w:rPr>
  </w:style>
  <w:style w:type="paragraph" w:customStyle="1" w:styleId="InBriefTitle">
    <w:name w:val="InBrief Title"/>
    <w:next w:val="Para0"/>
    <w:uiPriority w:val="16"/>
    <w:rsid w:val="00722339"/>
    <w:pPr>
      <w:spacing w:after="360" w:line="320" w:lineRule="exact"/>
      <w:ind w:right="57"/>
    </w:pPr>
    <w:rPr>
      <w:rFonts w:asciiTheme="majorHAnsi" w:hAnsiTheme="majorHAnsi"/>
      <w:b/>
      <w:color w:val="4E81BD" w:themeColor="accent1"/>
      <w:sz w:val="28"/>
    </w:rPr>
  </w:style>
  <w:style w:type="paragraph" w:customStyle="1" w:styleId="Author">
    <w:name w:val="Author"/>
    <w:next w:val="Para0"/>
    <w:uiPriority w:val="6"/>
    <w:qFormat/>
    <w:rsid w:val="00821370"/>
    <w:pPr>
      <w:spacing w:before="180" w:after="240" w:line="260" w:lineRule="exact"/>
      <w:ind w:right="284"/>
      <w:jc w:val="right"/>
    </w:pPr>
    <w:rPr>
      <w:rFonts w:asciiTheme="majorHAnsi" w:hAnsiTheme="majorHAnsi"/>
    </w:rPr>
  </w:style>
  <w:style w:type="paragraph" w:customStyle="1" w:styleId="Heading2Indicator">
    <w:name w:val="Heading 2 (Indicator)"/>
    <w:next w:val="Para0"/>
    <w:uiPriority w:val="8"/>
    <w:qFormat/>
    <w:rsid w:val="00966A58"/>
    <w:pPr>
      <w:pageBreakBefore/>
      <w:spacing w:after="480" w:line="560" w:lineRule="exact"/>
      <w:outlineLvl w:val="1"/>
    </w:pPr>
    <w:rPr>
      <w:rFonts w:asciiTheme="majorHAnsi" w:eastAsiaTheme="majorEastAsia" w:hAnsiTheme="majorHAnsi" w:cstheme="majorBidi"/>
      <w:b/>
      <w:color w:val="4E81BD" w:themeColor="accent1"/>
      <w:sz w:val="52"/>
      <w:szCs w:val="26"/>
    </w:rPr>
  </w:style>
  <w:style w:type="paragraph" w:customStyle="1" w:styleId="BoxHeading2">
    <w:name w:val="Box Heading 2"/>
    <w:next w:val="Para0"/>
    <w:uiPriority w:val="14"/>
    <w:qFormat/>
    <w:rsid w:val="000E5F57"/>
    <w:pPr>
      <w:spacing w:before="180" w:after="120" w:line="240" w:lineRule="auto"/>
    </w:pPr>
    <w:rPr>
      <w:rFonts w:asciiTheme="majorHAnsi" w:hAnsiTheme="majorHAnsi"/>
      <w:b/>
      <w:i/>
      <w:color w:val="000000" w:themeColor="text1"/>
    </w:rPr>
  </w:style>
  <w:style w:type="table" w:customStyle="1" w:styleId="OECD">
    <w:name w:val="OECD"/>
    <w:basedOn w:val="TableSimple1"/>
    <w:uiPriority w:val="99"/>
    <w:rsid w:val="00625626"/>
    <w:pPr>
      <w:spacing w:before="10" w:after="20" w:line="200" w:lineRule="exact"/>
    </w:pPr>
    <w:rPr>
      <w:rFonts w:ascii="Arial Narrow" w:hAnsi="Arial Narrow"/>
      <w:sz w:val="17"/>
      <w:szCs w:val="20"/>
      <w:lang w:eastAsia="en-GB"/>
    </w:rPr>
    <w:tblPr>
      <w:tblBorders>
        <w:top w:val="single" w:sz="12" w:space="0" w:color="4E81BD" w:themeColor="accent1"/>
        <w:bottom w:val="single" w:sz="12" w:space="0" w:color="4E81BD"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4E81BD"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TableSimple1">
    <w:name w:val="Table Simple 1"/>
    <w:basedOn w:val="TableNormal"/>
    <w:uiPriority w:val="99"/>
    <w:semiHidden/>
    <w:unhideWhenUsed/>
    <w:rsid w:val="009E05F9"/>
    <w:pPr>
      <w:spacing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9">
    <w:name w:val="toc 9"/>
    <w:next w:val="Normal"/>
    <w:autoRedefine/>
    <w:uiPriority w:val="39"/>
    <w:rsid w:val="001C4E4F"/>
    <w:pPr>
      <w:tabs>
        <w:tab w:val="right" w:pos="9072"/>
      </w:tabs>
      <w:spacing w:before="240" w:after="40" w:line="300" w:lineRule="exact"/>
      <w:ind w:left="284" w:right="652" w:hanging="284"/>
    </w:pPr>
    <w:rPr>
      <w:rFonts w:asciiTheme="majorHAnsi" w:hAnsiTheme="majorHAnsi"/>
      <w:b/>
      <w:color w:val="4E81BD" w:themeColor="accent1"/>
      <w:sz w:val="28"/>
    </w:rPr>
  </w:style>
  <w:style w:type="paragraph" w:customStyle="1" w:styleId="KeyBoxTitle">
    <w:name w:val="KeyBox Title"/>
    <w:basedOn w:val="Caption"/>
    <w:next w:val="Para0"/>
    <w:rsid w:val="00C71392"/>
    <w:pPr>
      <w:spacing w:before="0" w:after="360" w:line="440" w:lineRule="exact"/>
      <w:ind w:right="57"/>
    </w:pPr>
    <w:rPr>
      <w:rFonts w:eastAsiaTheme="majorEastAsia" w:cstheme="majorBidi"/>
      <w:iCs w:val="0"/>
      <w:sz w:val="36"/>
      <w:szCs w:val="26"/>
    </w:rPr>
  </w:style>
  <w:style w:type="paragraph" w:customStyle="1" w:styleId="Heading2IndicatorSublevel">
    <w:name w:val="Heading 2 (Indicator Sublevel)"/>
    <w:basedOn w:val="Heading2"/>
    <w:next w:val="Para0"/>
    <w:uiPriority w:val="9"/>
    <w:qFormat/>
    <w:rsid w:val="00F47BCF"/>
    <w:pPr>
      <w:outlineLvl w:val="2"/>
    </w:pPr>
  </w:style>
  <w:style w:type="character" w:styleId="Strong">
    <w:name w:val="Strong"/>
    <w:basedOn w:val="DefaultParagraphFont"/>
    <w:uiPriority w:val="22"/>
    <w:qFormat/>
    <w:rsid w:val="006145A3"/>
    <w:rPr>
      <w:rFonts w:cs="Times New Roman"/>
      <w:b/>
    </w:rPr>
  </w:style>
  <w:style w:type="character" w:styleId="CommentReference">
    <w:name w:val="annotation reference"/>
    <w:basedOn w:val="DefaultParagraphFont"/>
    <w:uiPriority w:val="99"/>
    <w:semiHidden/>
    <w:unhideWhenUsed/>
    <w:rsid w:val="006145A3"/>
    <w:rPr>
      <w:sz w:val="16"/>
      <w:szCs w:val="16"/>
    </w:rPr>
  </w:style>
  <w:style w:type="paragraph" w:styleId="CommentText">
    <w:name w:val="annotation text"/>
    <w:basedOn w:val="Normal"/>
    <w:link w:val="CommentTextChar"/>
    <w:uiPriority w:val="99"/>
    <w:semiHidden/>
    <w:unhideWhenUsed/>
    <w:rsid w:val="006145A3"/>
    <w:rPr>
      <w:sz w:val="20"/>
      <w:szCs w:val="20"/>
    </w:rPr>
  </w:style>
  <w:style w:type="character" w:customStyle="1" w:styleId="CommentTextChar">
    <w:name w:val="Comment Text Char"/>
    <w:basedOn w:val="DefaultParagraphFont"/>
    <w:link w:val="CommentText"/>
    <w:uiPriority w:val="99"/>
    <w:semiHidden/>
    <w:rsid w:val="006145A3"/>
    <w:rPr>
      <w:sz w:val="20"/>
      <w:szCs w:val="20"/>
    </w:rPr>
  </w:style>
  <w:style w:type="paragraph" w:styleId="CommentSubject">
    <w:name w:val="annotation subject"/>
    <w:basedOn w:val="CommentText"/>
    <w:next w:val="CommentText"/>
    <w:link w:val="CommentSubjectChar"/>
    <w:uiPriority w:val="99"/>
    <w:semiHidden/>
    <w:unhideWhenUsed/>
    <w:rsid w:val="006145A3"/>
    <w:rPr>
      <w:b/>
      <w:bCs/>
    </w:rPr>
  </w:style>
  <w:style w:type="character" w:customStyle="1" w:styleId="CommentSubjectChar">
    <w:name w:val="Comment Subject Char"/>
    <w:basedOn w:val="CommentTextChar"/>
    <w:link w:val="CommentSubject"/>
    <w:uiPriority w:val="99"/>
    <w:semiHidden/>
    <w:rsid w:val="006145A3"/>
    <w:rPr>
      <w:b/>
      <w:bCs/>
      <w:sz w:val="20"/>
      <w:szCs w:val="20"/>
    </w:rPr>
  </w:style>
  <w:style w:type="paragraph" w:styleId="BalloonText">
    <w:name w:val="Balloon Text"/>
    <w:basedOn w:val="Normal"/>
    <w:link w:val="BalloonTextChar"/>
    <w:uiPriority w:val="99"/>
    <w:semiHidden/>
    <w:unhideWhenUsed/>
    <w:rsid w:val="006145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5A3"/>
    <w:rPr>
      <w:rFonts w:ascii="Segoe UI" w:hAnsi="Segoe UI" w:cs="Segoe UI"/>
      <w:sz w:val="18"/>
      <w:szCs w:val="18"/>
    </w:rPr>
  </w:style>
  <w:style w:type="paragraph" w:customStyle="1" w:styleId="para2">
    <w:name w:val="para"/>
    <w:basedOn w:val="Normal"/>
    <w:rsid w:val="006145A3"/>
    <w:pPr>
      <w:widowControl/>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bulletedlist0">
    <w:name w:val="bulletedlist"/>
    <w:basedOn w:val="Normal"/>
    <w:rsid w:val="006145A3"/>
    <w:pPr>
      <w:widowControl/>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88">
      <w:bodyDiv w:val="1"/>
      <w:marLeft w:val="0"/>
      <w:marRight w:val="0"/>
      <w:marTop w:val="0"/>
      <w:marBottom w:val="0"/>
      <w:divBdr>
        <w:top w:val="none" w:sz="0" w:space="0" w:color="auto"/>
        <w:left w:val="none" w:sz="0" w:space="0" w:color="auto"/>
        <w:bottom w:val="none" w:sz="0" w:space="0" w:color="auto"/>
        <w:right w:val="none" w:sz="0" w:space="0" w:color="auto"/>
      </w:divBdr>
    </w:div>
    <w:div w:id="5640955">
      <w:bodyDiv w:val="1"/>
      <w:marLeft w:val="0"/>
      <w:marRight w:val="0"/>
      <w:marTop w:val="0"/>
      <w:marBottom w:val="0"/>
      <w:divBdr>
        <w:top w:val="none" w:sz="0" w:space="0" w:color="auto"/>
        <w:left w:val="none" w:sz="0" w:space="0" w:color="auto"/>
        <w:bottom w:val="none" w:sz="0" w:space="0" w:color="auto"/>
        <w:right w:val="none" w:sz="0" w:space="0" w:color="auto"/>
      </w:divBdr>
    </w:div>
    <w:div w:id="8072182">
      <w:bodyDiv w:val="1"/>
      <w:marLeft w:val="0"/>
      <w:marRight w:val="0"/>
      <w:marTop w:val="0"/>
      <w:marBottom w:val="0"/>
      <w:divBdr>
        <w:top w:val="none" w:sz="0" w:space="0" w:color="auto"/>
        <w:left w:val="none" w:sz="0" w:space="0" w:color="auto"/>
        <w:bottom w:val="none" w:sz="0" w:space="0" w:color="auto"/>
        <w:right w:val="none" w:sz="0" w:space="0" w:color="auto"/>
      </w:divBdr>
    </w:div>
    <w:div w:id="11107183">
      <w:bodyDiv w:val="1"/>
      <w:marLeft w:val="0"/>
      <w:marRight w:val="0"/>
      <w:marTop w:val="0"/>
      <w:marBottom w:val="0"/>
      <w:divBdr>
        <w:top w:val="none" w:sz="0" w:space="0" w:color="auto"/>
        <w:left w:val="none" w:sz="0" w:space="0" w:color="auto"/>
        <w:bottom w:val="none" w:sz="0" w:space="0" w:color="auto"/>
        <w:right w:val="none" w:sz="0" w:space="0" w:color="auto"/>
      </w:divBdr>
    </w:div>
    <w:div w:id="12347669">
      <w:bodyDiv w:val="1"/>
      <w:marLeft w:val="0"/>
      <w:marRight w:val="0"/>
      <w:marTop w:val="0"/>
      <w:marBottom w:val="0"/>
      <w:divBdr>
        <w:top w:val="none" w:sz="0" w:space="0" w:color="auto"/>
        <w:left w:val="none" w:sz="0" w:space="0" w:color="auto"/>
        <w:bottom w:val="none" w:sz="0" w:space="0" w:color="auto"/>
        <w:right w:val="none" w:sz="0" w:space="0" w:color="auto"/>
      </w:divBdr>
    </w:div>
    <w:div w:id="13580055">
      <w:bodyDiv w:val="1"/>
      <w:marLeft w:val="0"/>
      <w:marRight w:val="0"/>
      <w:marTop w:val="0"/>
      <w:marBottom w:val="0"/>
      <w:divBdr>
        <w:top w:val="none" w:sz="0" w:space="0" w:color="auto"/>
        <w:left w:val="none" w:sz="0" w:space="0" w:color="auto"/>
        <w:bottom w:val="none" w:sz="0" w:space="0" w:color="auto"/>
        <w:right w:val="none" w:sz="0" w:space="0" w:color="auto"/>
      </w:divBdr>
    </w:div>
    <w:div w:id="31543529">
      <w:bodyDiv w:val="1"/>
      <w:marLeft w:val="0"/>
      <w:marRight w:val="0"/>
      <w:marTop w:val="0"/>
      <w:marBottom w:val="0"/>
      <w:divBdr>
        <w:top w:val="none" w:sz="0" w:space="0" w:color="auto"/>
        <w:left w:val="none" w:sz="0" w:space="0" w:color="auto"/>
        <w:bottom w:val="none" w:sz="0" w:space="0" w:color="auto"/>
        <w:right w:val="none" w:sz="0" w:space="0" w:color="auto"/>
      </w:divBdr>
    </w:div>
    <w:div w:id="34623887">
      <w:bodyDiv w:val="1"/>
      <w:marLeft w:val="0"/>
      <w:marRight w:val="0"/>
      <w:marTop w:val="0"/>
      <w:marBottom w:val="0"/>
      <w:divBdr>
        <w:top w:val="none" w:sz="0" w:space="0" w:color="auto"/>
        <w:left w:val="none" w:sz="0" w:space="0" w:color="auto"/>
        <w:bottom w:val="none" w:sz="0" w:space="0" w:color="auto"/>
        <w:right w:val="none" w:sz="0" w:space="0" w:color="auto"/>
      </w:divBdr>
    </w:div>
    <w:div w:id="38825593">
      <w:bodyDiv w:val="1"/>
      <w:marLeft w:val="0"/>
      <w:marRight w:val="0"/>
      <w:marTop w:val="0"/>
      <w:marBottom w:val="0"/>
      <w:divBdr>
        <w:top w:val="none" w:sz="0" w:space="0" w:color="auto"/>
        <w:left w:val="none" w:sz="0" w:space="0" w:color="auto"/>
        <w:bottom w:val="none" w:sz="0" w:space="0" w:color="auto"/>
        <w:right w:val="none" w:sz="0" w:space="0" w:color="auto"/>
      </w:divBdr>
    </w:div>
    <w:div w:id="41369270">
      <w:bodyDiv w:val="1"/>
      <w:marLeft w:val="0"/>
      <w:marRight w:val="0"/>
      <w:marTop w:val="0"/>
      <w:marBottom w:val="0"/>
      <w:divBdr>
        <w:top w:val="none" w:sz="0" w:space="0" w:color="auto"/>
        <w:left w:val="none" w:sz="0" w:space="0" w:color="auto"/>
        <w:bottom w:val="none" w:sz="0" w:space="0" w:color="auto"/>
        <w:right w:val="none" w:sz="0" w:space="0" w:color="auto"/>
      </w:divBdr>
    </w:div>
    <w:div w:id="55981466">
      <w:bodyDiv w:val="1"/>
      <w:marLeft w:val="0"/>
      <w:marRight w:val="0"/>
      <w:marTop w:val="0"/>
      <w:marBottom w:val="0"/>
      <w:divBdr>
        <w:top w:val="none" w:sz="0" w:space="0" w:color="auto"/>
        <w:left w:val="none" w:sz="0" w:space="0" w:color="auto"/>
        <w:bottom w:val="none" w:sz="0" w:space="0" w:color="auto"/>
        <w:right w:val="none" w:sz="0" w:space="0" w:color="auto"/>
      </w:divBdr>
    </w:div>
    <w:div w:id="57173567">
      <w:bodyDiv w:val="1"/>
      <w:marLeft w:val="0"/>
      <w:marRight w:val="0"/>
      <w:marTop w:val="0"/>
      <w:marBottom w:val="0"/>
      <w:divBdr>
        <w:top w:val="none" w:sz="0" w:space="0" w:color="auto"/>
        <w:left w:val="none" w:sz="0" w:space="0" w:color="auto"/>
        <w:bottom w:val="none" w:sz="0" w:space="0" w:color="auto"/>
        <w:right w:val="none" w:sz="0" w:space="0" w:color="auto"/>
      </w:divBdr>
    </w:div>
    <w:div w:id="58021243">
      <w:bodyDiv w:val="1"/>
      <w:marLeft w:val="0"/>
      <w:marRight w:val="0"/>
      <w:marTop w:val="0"/>
      <w:marBottom w:val="0"/>
      <w:divBdr>
        <w:top w:val="none" w:sz="0" w:space="0" w:color="auto"/>
        <w:left w:val="none" w:sz="0" w:space="0" w:color="auto"/>
        <w:bottom w:val="none" w:sz="0" w:space="0" w:color="auto"/>
        <w:right w:val="none" w:sz="0" w:space="0" w:color="auto"/>
      </w:divBdr>
    </w:div>
    <w:div w:id="59713574">
      <w:bodyDiv w:val="1"/>
      <w:marLeft w:val="0"/>
      <w:marRight w:val="0"/>
      <w:marTop w:val="0"/>
      <w:marBottom w:val="0"/>
      <w:divBdr>
        <w:top w:val="none" w:sz="0" w:space="0" w:color="auto"/>
        <w:left w:val="none" w:sz="0" w:space="0" w:color="auto"/>
        <w:bottom w:val="none" w:sz="0" w:space="0" w:color="auto"/>
        <w:right w:val="none" w:sz="0" w:space="0" w:color="auto"/>
      </w:divBdr>
    </w:div>
    <w:div w:id="62653351">
      <w:bodyDiv w:val="1"/>
      <w:marLeft w:val="0"/>
      <w:marRight w:val="0"/>
      <w:marTop w:val="0"/>
      <w:marBottom w:val="0"/>
      <w:divBdr>
        <w:top w:val="none" w:sz="0" w:space="0" w:color="auto"/>
        <w:left w:val="none" w:sz="0" w:space="0" w:color="auto"/>
        <w:bottom w:val="none" w:sz="0" w:space="0" w:color="auto"/>
        <w:right w:val="none" w:sz="0" w:space="0" w:color="auto"/>
      </w:divBdr>
    </w:div>
    <w:div w:id="69623212">
      <w:bodyDiv w:val="1"/>
      <w:marLeft w:val="0"/>
      <w:marRight w:val="0"/>
      <w:marTop w:val="0"/>
      <w:marBottom w:val="0"/>
      <w:divBdr>
        <w:top w:val="none" w:sz="0" w:space="0" w:color="auto"/>
        <w:left w:val="none" w:sz="0" w:space="0" w:color="auto"/>
        <w:bottom w:val="none" w:sz="0" w:space="0" w:color="auto"/>
        <w:right w:val="none" w:sz="0" w:space="0" w:color="auto"/>
      </w:divBdr>
    </w:div>
    <w:div w:id="70782718">
      <w:bodyDiv w:val="1"/>
      <w:marLeft w:val="0"/>
      <w:marRight w:val="0"/>
      <w:marTop w:val="0"/>
      <w:marBottom w:val="0"/>
      <w:divBdr>
        <w:top w:val="none" w:sz="0" w:space="0" w:color="auto"/>
        <w:left w:val="none" w:sz="0" w:space="0" w:color="auto"/>
        <w:bottom w:val="none" w:sz="0" w:space="0" w:color="auto"/>
        <w:right w:val="none" w:sz="0" w:space="0" w:color="auto"/>
      </w:divBdr>
    </w:div>
    <w:div w:id="71315375">
      <w:bodyDiv w:val="1"/>
      <w:marLeft w:val="0"/>
      <w:marRight w:val="0"/>
      <w:marTop w:val="0"/>
      <w:marBottom w:val="0"/>
      <w:divBdr>
        <w:top w:val="none" w:sz="0" w:space="0" w:color="auto"/>
        <w:left w:val="none" w:sz="0" w:space="0" w:color="auto"/>
        <w:bottom w:val="none" w:sz="0" w:space="0" w:color="auto"/>
        <w:right w:val="none" w:sz="0" w:space="0" w:color="auto"/>
      </w:divBdr>
    </w:div>
    <w:div w:id="77673889">
      <w:bodyDiv w:val="1"/>
      <w:marLeft w:val="0"/>
      <w:marRight w:val="0"/>
      <w:marTop w:val="0"/>
      <w:marBottom w:val="0"/>
      <w:divBdr>
        <w:top w:val="none" w:sz="0" w:space="0" w:color="auto"/>
        <w:left w:val="none" w:sz="0" w:space="0" w:color="auto"/>
        <w:bottom w:val="none" w:sz="0" w:space="0" w:color="auto"/>
        <w:right w:val="none" w:sz="0" w:space="0" w:color="auto"/>
      </w:divBdr>
    </w:div>
    <w:div w:id="86508671">
      <w:bodyDiv w:val="1"/>
      <w:marLeft w:val="0"/>
      <w:marRight w:val="0"/>
      <w:marTop w:val="0"/>
      <w:marBottom w:val="0"/>
      <w:divBdr>
        <w:top w:val="none" w:sz="0" w:space="0" w:color="auto"/>
        <w:left w:val="none" w:sz="0" w:space="0" w:color="auto"/>
        <w:bottom w:val="none" w:sz="0" w:space="0" w:color="auto"/>
        <w:right w:val="none" w:sz="0" w:space="0" w:color="auto"/>
      </w:divBdr>
    </w:div>
    <w:div w:id="89550022">
      <w:bodyDiv w:val="1"/>
      <w:marLeft w:val="0"/>
      <w:marRight w:val="0"/>
      <w:marTop w:val="0"/>
      <w:marBottom w:val="0"/>
      <w:divBdr>
        <w:top w:val="none" w:sz="0" w:space="0" w:color="auto"/>
        <w:left w:val="none" w:sz="0" w:space="0" w:color="auto"/>
        <w:bottom w:val="none" w:sz="0" w:space="0" w:color="auto"/>
        <w:right w:val="none" w:sz="0" w:space="0" w:color="auto"/>
      </w:divBdr>
    </w:div>
    <w:div w:id="91554315">
      <w:bodyDiv w:val="1"/>
      <w:marLeft w:val="0"/>
      <w:marRight w:val="0"/>
      <w:marTop w:val="0"/>
      <w:marBottom w:val="0"/>
      <w:divBdr>
        <w:top w:val="none" w:sz="0" w:space="0" w:color="auto"/>
        <w:left w:val="none" w:sz="0" w:space="0" w:color="auto"/>
        <w:bottom w:val="none" w:sz="0" w:space="0" w:color="auto"/>
        <w:right w:val="none" w:sz="0" w:space="0" w:color="auto"/>
      </w:divBdr>
    </w:div>
    <w:div w:id="96410276">
      <w:bodyDiv w:val="1"/>
      <w:marLeft w:val="0"/>
      <w:marRight w:val="0"/>
      <w:marTop w:val="0"/>
      <w:marBottom w:val="0"/>
      <w:divBdr>
        <w:top w:val="none" w:sz="0" w:space="0" w:color="auto"/>
        <w:left w:val="none" w:sz="0" w:space="0" w:color="auto"/>
        <w:bottom w:val="none" w:sz="0" w:space="0" w:color="auto"/>
        <w:right w:val="none" w:sz="0" w:space="0" w:color="auto"/>
      </w:divBdr>
    </w:div>
    <w:div w:id="97137965">
      <w:bodyDiv w:val="1"/>
      <w:marLeft w:val="0"/>
      <w:marRight w:val="0"/>
      <w:marTop w:val="0"/>
      <w:marBottom w:val="0"/>
      <w:divBdr>
        <w:top w:val="none" w:sz="0" w:space="0" w:color="auto"/>
        <w:left w:val="none" w:sz="0" w:space="0" w:color="auto"/>
        <w:bottom w:val="none" w:sz="0" w:space="0" w:color="auto"/>
        <w:right w:val="none" w:sz="0" w:space="0" w:color="auto"/>
      </w:divBdr>
    </w:div>
    <w:div w:id="99372350">
      <w:bodyDiv w:val="1"/>
      <w:marLeft w:val="0"/>
      <w:marRight w:val="0"/>
      <w:marTop w:val="0"/>
      <w:marBottom w:val="0"/>
      <w:divBdr>
        <w:top w:val="none" w:sz="0" w:space="0" w:color="auto"/>
        <w:left w:val="none" w:sz="0" w:space="0" w:color="auto"/>
        <w:bottom w:val="none" w:sz="0" w:space="0" w:color="auto"/>
        <w:right w:val="none" w:sz="0" w:space="0" w:color="auto"/>
      </w:divBdr>
    </w:div>
    <w:div w:id="100420969">
      <w:bodyDiv w:val="1"/>
      <w:marLeft w:val="0"/>
      <w:marRight w:val="0"/>
      <w:marTop w:val="0"/>
      <w:marBottom w:val="0"/>
      <w:divBdr>
        <w:top w:val="none" w:sz="0" w:space="0" w:color="auto"/>
        <w:left w:val="none" w:sz="0" w:space="0" w:color="auto"/>
        <w:bottom w:val="none" w:sz="0" w:space="0" w:color="auto"/>
        <w:right w:val="none" w:sz="0" w:space="0" w:color="auto"/>
      </w:divBdr>
    </w:div>
    <w:div w:id="104278402">
      <w:bodyDiv w:val="1"/>
      <w:marLeft w:val="0"/>
      <w:marRight w:val="0"/>
      <w:marTop w:val="0"/>
      <w:marBottom w:val="0"/>
      <w:divBdr>
        <w:top w:val="none" w:sz="0" w:space="0" w:color="auto"/>
        <w:left w:val="none" w:sz="0" w:space="0" w:color="auto"/>
        <w:bottom w:val="none" w:sz="0" w:space="0" w:color="auto"/>
        <w:right w:val="none" w:sz="0" w:space="0" w:color="auto"/>
      </w:divBdr>
    </w:div>
    <w:div w:id="121075969">
      <w:bodyDiv w:val="1"/>
      <w:marLeft w:val="0"/>
      <w:marRight w:val="0"/>
      <w:marTop w:val="0"/>
      <w:marBottom w:val="0"/>
      <w:divBdr>
        <w:top w:val="none" w:sz="0" w:space="0" w:color="auto"/>
        <w:left w:val="none" w:sz="0" w:space="0" w:color="auto"/>
        <w:bottom w:val="none" w:sz="0" w:space="0" w:color="auto"/>
        <w:right w:val="none" w:sz="0" w:space="0" w:color="auto"/>
      </w:divBdr>
    </w:div>
    <w:div w:id="130487624">
      <w:bodyDiv w:val="1"/>
      <w:marLeft w:val="0"/>
      <w:marRight w:val="0"/>
      <w:marTop w:val="0"/>
      <w:marBottom w:val="0"/>
      <w:divBdr>
        <w:top w:val="none" w:sz="0" w:space="0" w:color="auto"/>
        <w:left w:val="none" w:sz="0" w:space="0" w:color="auto"/>
        <w:bottom w:val="none" w:sz="0" w:space="0" w:color="auto"/>
        <w:right w:val="none" w:sz="0" w:space="0" w:color="auto"/>
      </w:divBdr>
    </w:div>
    <w:div w:id="130556328">
      <w:bodyDiv w:val="1"/>
      <w:marLeft w:val="0"/>
      <w:marRight w:val="0"/>
      <w:marTop w:val="0"/>
      <w:marBottom w:val="0"/>
      <w:divBdr>
        <w:top w:val="none" w:sz="0" w:space="0" w:color="auto"/>
        <w:left w:val="none" w:sz="0" w:space="0" w:color="auto"/>
        <w:bottom w:val="none" w:sz="0" w:space="0" w:color="auto"/>
        <w:right w:val="none" w:sz="0" w:space="0" w:color="auto"/>
      </w:divBdr>
    </w:div>
    <w:div w:id="132602966">
      <w:bodyDiv w:val="1"/>
      <w:marLeft w:val="0"/>
      <w:marRight w:val="0"/>
      <w:marTop w:val="0"/>
      <w:marBottom w:val="0"/>
      <w:divBdr>
        <w:top w:val="none" w:sz="0" w:space="0" w:color="auto"/>
        <w:left w:val="none" w:sz="0" w:space="0" w:color="auto"/>
        <w:bottom w:val="none" w:sz="0" w:space="0" w:color="auto"/>
        <w:right w:val="none" w:sz="0" w:space="0" w:color="auto"/>
      </w:divBdr>
    </w:div>
    <w:div w:id="136843712">
      <w:bodyDiv w:val="1"/>
      <w:marLeft w:val="0"/>
      <w:marRight w:val="0"/>
      <w:marTop w:val="0"/>
      <w:marBottom w:val="0"/>
      <w:divBdr>
        <w:top w:val="none" w:sz="0" w:space="0" w:color="auto"/>
        <w:left w:val="none" w:sz="0" w:space="0" w:color="auto"/>
        <w:bottom w:val="none" w:sz="0" w:space="0" w:color="auto"/>
        <w:right w:val="none" w:sz="0" w:space="0" w:color="auto"/>
      </w:divBdr>
    </w:div>
    <w:div w:id="151527179">
      <w:bodyDiv w:val="1"/>
      <w:marLeft w:val="0"/>
      <w:marRight w:val="0"/>
      <w:marTop w:val="0"/>
      <w:marBottom w:val="0"/>
      <w:divBdr>
        <w:top w:val="none" w:sz="0" w:space="0" w:color="auto"/>
        <w:left w:val="none" w:sz="0" w:space="0" w:color="auto"/>
        <w:bottom w:val="none" w:sz="0" w:space="0" w:color="auto"/>
        <w:right w:val="none" w:sz="0" w:space="0" w:color="auto"/>
      </w:divBdr>
    </w:div>
    <w:div w:id="154036812">
      <w:bodyDiv w:val="1"/>
      <w:marLeft w:val="0"/>
      <w:marRight w:val="0"/>
      <w:marTop w:val="0"/>
      <w:marBottom w:val="0"/>
      <w:divBdr>
        <w:top w:val="none" w:sz="0" w:space="0" w:color="auto"/>
        <w:left w:val="none" w:sz="0" w:space="0" w:color="auto"/>
        <w:bottom w:val="none" w:sz="0" w:space="0" w:color="auto"/>
        <w:right w:val="none" w:sz="0" w:space="0" w:color="auto"/>
      </w:divBdr>
    </w:div>
    <w:div w:id="154540306">
      <w:bodyDiv w:val="1"/>
      <w:marLeft w:val="0"/>
      <w:marRight w:val="0"/>
      <w:marTop w:val="0"/>
      <w:marBottom w:val="0"/>
      <w:divBdr>
        <w:top w:val="none" w:sz="0" w:space="0" w:color="auto"/>
        <w:left w:val="none" w:sz="0" w:space="0" w:color="auto"/>
        <w:bottom w:val="none" w:sz="0" w:space="0" w:color="auto"/>
        <w:right w:val="none" w:sz="0" w:space="0" w:color="auto"/>
      </w:divBdr>
    </w:div>
    <w:div w:id="160200623">
      <w:bodyDiv w:val="1"/>
      <w:marLeft w:val="0"/>
      <w:marRight w:val="0"/>
      <w:marTop w:val="0"/>
      <w:marBottom w:val="0"/>
      <w:divBdr>
        <w:top w:val="none" w:sz="0" w:space="0" w:color="auto"/>
        <w:left w:val="none" w:sz="0" w:space="0" w:color="auto"/>
        <w:bottom w:val="none" w:sz="0" w:space="0" w:color="auto"/>
        <w:right w:val="none" w:sz="0" w:space="0" w:color="auto"/>
      </w:divBdr>
    </w:div>
    <w:div w:id="161556011">
      <w:bodyDiv w:val="1"/>
      <w:marLeft w:val="0"/>
      <w:marRight w:val="0"/>
      <w:marTop w:val="0"/>
      <w:marBottom w:val="0"/>
      <w:divBdr>
        <w:top w:val="none" w:sz="0" w:space="0" w:color="auto"/>
        <w:left w:val="none" w:sz="0" w:space="0" w:color="auto"/>
        <w:bottom w:val="none" w:sz="0" w:space="0" w:color="auto"/>
        <w:right w:val="none" w:sz="0" w:space="0" w:color="auto"/>
      </w:divBdr>
    </w:div>
    <w:div w:id="162472102">
      <w:bodyDiv w:val="1"/>
      <w:marLeft w:val="0"/>
      <w:marRight w:val="0"/>
      <w:marTop w:val="0"/>
      <w:marBottom w:val="0"/>
      <w:divBdr>
        <w:top w:val="none" w:sz="0" w:space="0" w:color="auto"/>
        <w:left w:val="none" w:sz="0" w:space="0" w:color="auto"/>
        <w:bottom w:val="none" w:sz="0" w:space="0" w:color="auto"/>
        <w:right w:val="none" w:sz="0" w:space="0" w:color="auto"/>
      </w:divBdr>
    </w:div>
    <w:div w:id="162598032">
      <w:bodyDiv w:val="1"/>
      <w:marLeft w:val="0"/>
      <w:marRight w:val="0"/>
      <w:marTop w:val="0"/>
      <w:marBottom w:val="0"/>
      <w:divBdr>
        <w:top w:val="none" w:sz="0" w:space="0" w:color="auto"/>
        <w:left w:val="none" w:sz="0" w:space="0" w:color="auto"/>
        <w:bottom w:val="none" w:sz="0" w:space="0" w:color="auto"/>
        <w:right w:val="none" w:sz="0" w:space="0" w:color="auto"/>
      </w:divBdr>
    </w:div>
    <w:div w:id="169221137">
      <w:bodyDiv w:val="1"/>
      <w:marLeft w:val="0"/>
      <w:marRight w:val="0"/>
      <w:marTop w:val="0"/>
      <w:marBottom w:val="0"/>
      <w:divBdr>
        <w:top w:val="none" w:sz="0" w:space="0" w:color="auto"/>
        <w:left w:val="none" w:sz="0" w:space="0" w:color="auto"/>
        <w:bottom w:val="none" w:sz="0" w:space="0" w:color="auto"/>
        <w:right w:val="none" w:sz="0" w:space="0" w:color="auto"/>
      </w:divBdr>
    </w:div>
    <w:div w:id="169830348">
      <w:bodyDiv w:val="1"/>
      <w:marLeft w:val="0"/>
      <w:marRight w:val="0"/>
      <w:marTop w:val="0"/>
      <w:marBottom w:val="0"/>
      <w:divBdr>
        <w:top w:val="none" w:sz="0" w:space="0" w:color="auto"/>
        <w:left w:val="none" w:sz="0" w:space="0" w:color="auto"/>
        <w:bottom w:val="none" w:sz="0" w:space="0" w:color="auto"/>
        <w:right w:val="none" w:sz="0" w:space="0" w:color="auto"/>
      </w:divBdr>
    </w:div>
    <w:div w:id="170294434">
      <w:bodyDiv w:val="1"/>
      <w:marLeft w:val="0"/>
      <w:marRight w:val="0"/>
      <w:marTop w:val="0"/>
      <w:marBottom w:val="0"/>
      <w:divBdr>
        <w:top w:val="none" w:sz="0" w:space="0" w:color="auto"/>
        <w:left w:val="none" w:sz="0" w:space="0" w:color="auto"/>
        <w:bottom w:val="none" w:sz="0" w:space="0" w:color="auto"/>
        <w:right w:val="none" w:sz="0" w:space="0" w:color="auto"/>
      </w:divBdr>
    </w:div>
    <w:div w:id="170533307">
      <w:bodyDiv w:val="1"/>
      <w:marLeft w:val="0"/>
      <w:marRight w:val="0"/>
      <w:marTop w:val="0"/>
      <w:marBottom w:val="0"/>
      <w:divBdr>
        <w:top w:val="none" w:sz="0" w:space="0" w:color="auto"/>
        <w:left w:val="none" w:sz="0" w:space="0" w:color="auto"/>
        <w:bottom w:val="none" w:sz="0" w:space="0" w:color="auto"/>
        <w:right w:val="none" w:sz="0" w:space="0" w:color="auto"/>
      </w:divBdr>
    </w:div>
    <w:div w:id="176966560">
      <w:bodyDiv w:val="1"/>
      <w:marLeft w:val="0"/>
      <w:marRight w:val="0"/>
      <w:marTop w:val="0"/>
      <w:marBottom w:val="0"/>
      <w:divBdr>
        <w:top w:val="none" w:sz="0" w:space="0" w:color="auto"/>
        <w:left w:val="none" w:sz="0" w:space="0" w:color="auto"/>
        <w:bottom w:val="none" w:sz="0" w:space="0" w:color="auto"/>
        <w:right w:val="none" w:sz="0" w:space="0" w:color="auto"/>
      </w:divBdr>
    </w:div>
    <w:div w:id="177040593">
      <w:bodyDiv w:val="1"/>
      <w:marLeft w:val="0"/>
      <w:marRight w:val="0"/>
      <w:marTop w:val="0"/>
      <w:marBottom w:val="0"/>
      <w:divBdr>
        <w:top w:val="none" w:sz="0" w:space="0" w:color="auto"/>
        <w:left w:val="none" w:sz="0" w:space="0" w:color="auto"/>
        <w:bottom w:val="none" w:sz="0" w:space="0" w:color="auto"/>
        <w:right w:val="none" w:sz="0" w:space="0" w:color="auto"/>
      </w:divBdr>
    </w:div>
    <w:div w:id="182011911">
      <w:bodyDiv w:val="1"/>
      <w:marLeft w:val="0"/>
      <w:marRight w:val="0"/>
      <w:marTop w:val="0"/>
      <w:marBottom w:val="0"/>
      <w:divBdr>
        <w:top w:val="none" w:sz="0" w:space="0" w:color="auto"/>
        <w:left w:val="none" w:sz="0" w:space="0" w:color="auto"/>
        <w:bottom w:val="none" w:sz="0" w:space="0" w:color="auto"/>
        <w:right w:val="none" w:sz="0" w:space="0" w:color="auto"/>
      </w:divBdr>
    </w:div>
    <w:div w:id="186526544">
      <w:bodyDiv w:val="1"/>
      <w:marLeft w:val="0"/>
      <w:marRight w:val="0"/>
      <w:marTop w:val="0"/>
      <w:marBottom w:val="0"/>
      <w:divBdr>
        <w:top w:val="none" w:sz="0" w:space="0" w:color="auto"/>
        <w:left w:val="none" w:sz="0" w:space="0" w:color="auto"/>
        <w:bottom w:val="none" w:sz="0" w:space="0" w:color="auto"/>
        <w:right w:val="none" w:sz="0" w:space="0" w:color="auto"/>
      </w:divBdr>
    </w:div>
    <w:div w:id="191304577">
      <w:bodyDiv w:val="1"/>
      <w:marLeft w:val="0"/>
      <w:marRight w:val="0"/>
      <w:marTop w:val="0"/>
      <w:marBottom w:val="0"/>
      <w:divBdr>
        <w:top w:val="none" w:sz="0" w:space="0" w:color="auto"/>
        <w:left w:val="none" w:sz="0" w:space="0" w:color="auto"/>
        <w:bottom w:val="none" w:sz="0" w:space="0" w:color="auto"/>
        <w:right w:val="none" w:sz="0" w:space="0" w:color="auto"/>
      </w:divBdr>
    </w:div>
    <w:div w:id="199705526">
      <w:bodyDiv w:val="1"/>
      <w:marLeft w:val="0"/>
      <w:marRight w:val="0"/>
      <w:marTop w:val="0"/>
      <w:marBottom w:val="0"/>
      <w:divBdr>
        <w:top w:val="none" w:sz="0" w:space="0" w:color="auto"/>
        <w:left w:val="none" w:sz="0" w:space="0" w:color="auto"/>
        <w:bottom w:val="none" w:sz="0" w:space="0" w:color="auto"/>
        <w:right w:val="none" w:sz="0" w:space="0" w:color="auto"/>
      </w:divBdr>
    </w:div>
    <w:div w:id="200557876">
      <w:bodyDiv w:val="1"/>
      <w:marLeft w:val="0"/>
      <w:marRight w:val="0"/>
      <w:marTop w:val="0"/>
      <w:marBottom w:val="0"/>
      <w:divBdr>
        <w:top w:val="none" w:sz="0" w:space="0" w:color="auto"/>
        <w:left w:val="none" w:sz="0" w:space="0" w:color="auto"/>
        <w:bottom w:val="none" w:sz="0" w:space="0" w:color="auto"/>
        <w:right w:val="none" w:sz="0" w:space="0" w:color="auto"/>
      </w:divBdr>
    </w:div>
    <w:div w:id="203175092">
      <w:bodyDiv w:val="1"/>
      <w:marLeft w:val="0"/>
      <w:marRight w:val="0"/>
      <w:marTop w:val="0"/>
      <w:marBottom w:val="0"/>
      <w:divBdr>
        <w:top w:val="none" w:sz="0" w:space="0" w:color="auto"/>
        <w:left w:val="none" w:sz="0" w:space="0" w:color="auto"/>
        <w:bottom w:val="none" w:sz="0" w:space="0" w:color="auto"/>
        <w:right w:val="none" w:sz="0" w:space="0" w:color="auto"/>
      </w:divBdr>
    </w:div>
    <w:div w:id="204489488">
      <w:bodyDiv w:val="1"/>
      <w:marLeft w:val="0"/>
      <w:marRight w:val="0"/>
      <w:marTop w:val="0"/>
      <w:marBottom w:val="0"/>
      <w:divBdr>
        <w:top w:val="none" w:sz="0" w:space="0" w:color="auto"/>
        <w:left w:val="none" w:sz="0" w:space="0" w:color="auto"/>
        <w:bottom w:val="none" w:sz="0" w:space="0" w:color="auto"/>
        <w:right w:val="none" w:sz="0" w:space="0" w:color="auto"/>
      </w:divBdr>
    </w:div>
    <w:div w:id="216666528">
      <w:bodyDiv w:val="1"/>
      <w:marLeft w:val="0"/>
      <w:marRight w:val="0"/>
      <w:marTop w:val="0"/>
      <w:marBottom w:val="0"/>
      <w:divBdr>
        <w:top w:val="none" w:sz="0" w:space="0" w:color="auto"/>
        <w:left w:val="none" w:sz="0" w:space="0" w:color="auto"/>
        <w:bottom w:val="none" w:sz="0" w:space="0" w:color="auto"/>
        <w:right w:val="none" w:sz="0" w:space="0" w:color="auto"/>
      </w:divBdr>
    </w:div>
    <w:div w:id="222639108">
      <w:bodyDiv w:val="1"/>
      <w:marLeft w:val="0"/>
      <w:marRight w:val="0"/>
      <w:marTop w:val="0"/>
      <w:marBottom w:val="0"/>
      <w:divBdr>
        <w:top w:val="none" w:sz="0" w:space="0" w:color="auto"/>
        <w:left w:val="none" w:sz="0" w:space="0" w:color="auto"/>
        <w:bottom w:val="none" w:sz="0" w:space="0" w:color="auto"/>
        <w:right w:val="none" w:sz="0" w:space="0" w:color="auto"/>
      </w:divBdr>
    </w:div>
    <w:div w:id="229510372">
      <w:bodyDiv w:val="1"/>
      <w:marLeft w:val="0"/>
      <w:marRight w:val="0"/>
      <w:marTop w:val="0"/>
      <w:marBottom w:val="0"/>
      <w:divBdr>
        <w:top w:val="none" w:sz="0" w:space="0" w:color="auto"/>
        <w:left w:val="none" w:sz="0" w:space="0" w:color="auto"/>
        <w:bottom w:val="none" w:sz="0" w:space="0" w:color="auto"/>
        <w:right w:val="none" w:sz="0" w:space="0" w:color="auto"/>
      </w:divBdr>
    </w:div>
    <w:div w:id="236672837">
      <w:bodyDiv w:val="1"/>
      <w:marLeft w:val="0"/>
      <w:marRight w:val="0"/>
      <w:marTop w:val="0"/>
      <w:marBottom w:val="0"/>
      <w:divBdr>
        <w:top w:val="none" w:sz="0" w:space="0" w:color="auto"/>
        <w:left w:val="none" w:sz="0" w:space="0" w:color="auto"/>
        <w:bottom w:val="none" w:sz="0" w:space="0" w:color="auto"/>
        <w:right w:val="none" w:sz="0" w:space="0" w:color="auto"/>
      </w:divBdr>
    </w:div>
    <w:div w:id="243952383">
      <w:bodyDiv w:val="1"/>
      <w:marLeft w:val="0"/>
      <w:marRight w:val="0"/>
      <w:marTop w:val="0"/>
      <w:marBottom w:val="0"/>
      <w:divBdr>
        <w:top w:val="none" w:sz="0" w:space="0" w:color="auto"/>
        <w:left w:val="none" w:sz="0" w:space="0" w:color="auto"/>
        <w:bottom w:val="none" w:sz="0" w:space="0" w:color="auto"/>
        <w:right w:val="none" w:sz="0" w:space="0" w:color="auto"/>
      </w:divBdr>
    </w:div>
    <w:div w:id="250702861">
      <w:bodyDiv w:val="1"/>
      <w:marLeft w:val="0"/>
      <w:marRight w:val="0"/>
      <w:marTop w:val="0"/>
      <w:marBottom w:val="0"/>
      <w:divBdr>
        <w:top w:val="none" w:sz="0" w:space="0" w:color="auto"/>
        <w:left w:val="none" w:sz="0" w:space="0" w:color="auto"/>
        <w:bottom w:val="none" w:sz="0" w:space="0" w:color="auto"/>
        <w:right w:val="none" w:sz="0" w:space="0" w:color="auto"/>
      </w:divBdr>
    </w:div>
    <w:div w:id="254483564">
      <w:bodyDiv w:val="1"/>
      <w:marLeft w:val="0"/>
      <w:marRight w:val="0"/>
      <w:marTop w:val="0"/>
      <w:marBottom w:val="0"/>
      <w:divBdr>
        <w:top w:val="none" w:sz="0" w:space="0" w:color="auto"/>
        <w:left w:val="none" w:sz="0" w:space="0" w:color="auto"/>
        <w:bottom w:val="none" w:sz="0" w:space="0" w:color="auto"/>
        <w:right w:val="none" w:sz="0" w:space="0" w:color="auto"/>
      </w:divBdr>
    </w:div>
    <w:div w:id="256524983">
      <w:bodyDiv w:val="1"/>
      <w:marLeft w:val="0"/>
      <w:marRight w:val="0"/>
      <w:marTop w:val="0"/>
      <w:marBottom w:val="0"/>
      <w:divBdr>
        <w:top w:val="none" w:sz="0" w:space="0" w:color="auto"/>
        <w:left w:val="none" w:sz="0" w:space="0" w:color="auto"/>
        <w:bottom w:val="none" w:sz="0" w:space="0" w:color="auto"/>
        <w:right w:val="none" w:sz="0" w:space="0" w:color="auto"/>
      </w:divBdr>
    </w:div>
    <w:div w:id="262307391">
      <w:bodyDiv w:val="1"/>
      <w:marLeft w:val="0"/>
      <w:marRight w:val="0"/>
      <w:marTop w:val="0"/>
      <w:marBottom w:val="0"/>
      <w:divBdr>
        <w:top w:val="none" w:sz="0" w:space="0" w:color="auto"/>
        <w:left w:val="none" w:sz="0" w:space="0" w:color="auto"/>
        <w:bottom w:val="none" w:sz="0" w:space="0" w:color="auto"/>
        <w:right w:val="none" w:sz="0" w:space="0" w:color="auto"/>
      </w:divBdr>
    </w:div>
    <w:div w:id="268240226">
      <w:bodyDiv w:val="1"/>
      <w:marLeft w:val="0"/>
      <w:marRight w:val="0"/>
      <w:marTop w:val="0"/>
      <w:marBottom w:val="0"/>
      <w:divBdr>
        <w:top w:val="none" w:sz="0" w:space="0" w:color="auto"/>
        <w:left w:val="none" w:sz="0" w:space="0" w:color="auto"/>
        <w:bottom w:val="none" w:sz="0" w:space="0" w:color="auto"/>
        <w:right w:val="none" w:sz="0" w:space="0" w:color="auto"/>
      </w:divBdr>
    </w:div>
    <w:div w:id="268706299">
      <w:bodyDiv w:val="1"/>
      <w:marLeft w:val="0"/>
      <w:marRight w:val="0"/>
      <w:marTop w:val="0"/>
      <w:marBottom w:val="0"/>
      <w:divBdr>
        <w:top w:val="none" w:sz="0" w:space="0" w:color="auto"/>
        <w:left w:val="none" w:sz="0" w:space="0" w:color="auto"/>
        <w:bottom w:val="none" w:sz="0" w:space="0" w:color="auto"/>
        <w:right w:val="none" w:sz="0" w:space="0" w:color="auto"/>
      </w:divBdr>
    </w:div>
    <w:div w:id="273296430">
      <w:bodyDiv w:val="1"/>
      <w:marLeft w:val="0"/>
      <w:marRight w:val="0"/>
      <w:marTop w:val="0"/>
      <w:marBottom w:val="0"/>
      <w:divBdr>
        <w:top w:val="none" w:sz="0" w:space="0" w:color="auto"/>
        <w:left w:val="none" w:sz="0" w:space="0" w:color="auto"/>
        <w:bottom w:val="none" w:sz="0" w:space="0" w:color="auto"/>
        <w:right w:val="none" w:sz="0" w:space="0" w:color="auto"/>
      </w:divBdr>
    </w:div>
    <w:div w:id="283780092">
      <w:bodyDiv w:val="1"/>
      <w:marLeft w:val="0"/>
      <w:marRight w:val="0"/>
      <w:marTop w:val="0"/>
      <w:marBottom w:val="0"/>
      <w:divBdr>
        <w:top w:val="none" w:sz="0" w:space="0" w:color="auto"/>
        <w:left w:val="none" w:sz="0" w:space="0" w:color="auto"/>
        <w:bottom w:val="none" w:sz="0" w:space="0" w:color="auto"/>
        <w:right w:val="none" w:sz="0" w:space="0" w:color="auto"/>
      </w:divBdr>
    </w:div>
    <w:div w:id="285081928">
      <w:bodyDiv w:val="1"/>
      <w:marLeft w:val="0"/>
      <w:marRight w:val="0"/>
      <w:marTop w:val="0"/>
      <w:marBottom w:val="0"/>
      <w:divBdr>
        <w:top w:val="none" w:sz="0" w:space="0" w:color="auto"/>
        <w:left w:val="none" w:sz="0" w:space="0" w:color="auto"/>
        <w:bottom w:val="none" w:sz="0" w:space="0" w:color="auto"/>
        <w:right w:val="none" w:sz="0" w:space="0" w:color="auto"/>
      </w:divBdr>
    </w:div>
    <w:div w:id="285430592">
      <w:bodyDiv w:val="1"/>
      <w:marLeft w:val="0"/>
      <w:marRight w:val="0"/>
      <w:marTop w:val="0"/>
      <w:marBottom w:val="0"/>
      <w:divBdr>
        <w:top w:val="none" w:sz="0" w:space="0" w:color="auto"/>
        <w:left w:val="none" w:sz="0" w:space="0" w:color="auto"/>
        <w:bottom w:val="none" w:sz="0" w:space="0" w:color="auto"/>
        <w:right w:val="none" w:sz="0" w:space="0" w:color="auto"/>
      </w:divBdr>
    </w:div>
    <w:div w:id="288972566">
      <w:bodyDiv w:val="1"/>
      <w:marLeft w:val="0"/>
      <w:marRight w:val="0"/>
      <w:marTop w:val="0"/>
      <w:marBottom w:val="0"/>
      <w:divBdr>
        <w:top w:val="none" w:sz="0" w:space="0" w:color="auto"/>
        <w:left w:val="none" w:sz="0" w:space="0" w:color="auto"/>
        <w:bottom w:val="none" w:sz="0" w:space="0" w:color="auto"/>
        <w:right w:val="none" w:sz="0" w:space="0" w:color="auto"/>
      </w:divBdr>
    </w:div>
    <w:div w:id="290064547">
      <w:bodyDiv w:val="1"/>
      <w:marLeft w:val="0"/>
      <w:marRight w:val="0"/>
      <w:marTop w:val="0"/>
      <w:marBottom w:val="0"/>
      <w:divBdr>
        <w:top w:val="none" w:sz="0" w:space="0" w:color="auto"/>
        <w:left w:val="none" w:sz="0" w:space="0" w:color="auto"/>
        <w:bottom w:val="none" w:sz="0" w:space="0" w:color="auto"/>
        <w:right w:val="none" w:sz="0" w:space="0" w:color="auto"/>
      </w:divBdr>
    </w:div>
    <w:div w:id="292177632">
      <w:bodyDiv w:val="1"/>
      <w:marLeft w:val="0"/>
      <w:marRight w:val="0"/>
      <w:marTop w:val="0"/>
      <w:marBottom w:val="0"/>
      <w:divBdr>
        <w:top w:val="none" w:sz="0" w:space="0" w:color="auto"/>
        <w:left w:val="none" w:sz="0" w:space="0" w:color="auto"/>
        <w:bottom w:val="none" w:sz="0" w:space="0" w:color="auto"/>
        <w:right w:val="none" w:sz="0" w:space="0" w:color="auto"/>
      </w:divBdr>
    </w:div>
    <w:div w:id="302199996">
      <w:bodyDiv w:val="1"/>
      <w:marLeft w:val="0"/>
      <w:marRight w:val="0"/>
      <w:marTop w:val="0"/>
      <w:marBottom w:val="0"/>
      <w:divBdr>
        <w:top w:val="none" w:sz="0" w:space="0" w:color="auto"/>
        <w:left w:val="none" w:sz="0" w:space="0" w:color="auto"/>
        <w:bottom w:val="none" w:sz="0" w:space="0" w:color="auto"/>
        <w:right w:val="none" w:sz="0" w:space="0" w:color="auto"/>
      </w:divBdr>
    </w:div>
    <w:div w:id="312180218">
      <w:bodyDiv w:val="1"/>
      <w:marLeft w:val="0"/>
      <w:marRight w:val="0"/>
      <w:marTop w:val="0"/>
      <w:marBottom w:val="0"/>
      <w:divBdr>
        <w:top w:val="none" w:sz="0" w:space="0" w:color="auto"/>
        <w:left w:val="none" w:sz="0" w:space="0" w:color="auto"/>
        <w:bottom w:val="none" w:sz="0" w:space="0" w:color="auto"/>
        <w:right w:val="none" w:sz="0" w:space="0" w:color="auto"/>
      </w:divBdr>
    </w:div>
    <w:div w:id="315182729">
      <w:bodyDiv w:val="1"/>
      <w:marLeft w:val="0"/>
      <w:marRight w:val="0"/>
      <w:marTop w:val="0"/>
      <w:marBottom w:val="0"/>
      <w:divBdr>
        <w:top w:val="none" w:sz="0" w:space="0" w:color="auto"/>
        <w:left w:val="none" w:sz="0" w:space="0" w:color="auto"/>
        <w:bottom w:val="none" w:sz="0" w:space="0" w:color="auto"/>
        <w:right w:val="none" w:sz="0" w:space="0" w:color="auto"/>
      </w:divBdr>
    </w:div>
    <w:div w:id="315498842">
      <w:bodyDiv w:val="1"/>
      <w:marLeft w:val="0"/>
      <w:marRight w:val="0"/>
      <w:marTop w:val="0"/>
      <w:marBottom w:val="0"/>
      <w:divBdr>
        <w:top w:val="none" w:sz="0" w:space="0" w:color="auto"/>
        <w:left w:val="none" w:sz="0" w:space="0" w:color="auto"/>
        <w:bottom w:val="none" w:sz="0" w:space="0" w:color="auto"/>
        <w:right w:val="none" w:sz="0" w:space="0" w:color="auto"/>
      </w:divBdr>
    </w:div>
    <w:div w:id="319624457">
      <w:bodyDiv w:val="1"/>
      <w:marLeft w:val="0"/>
      <w:marRight w:val="0"/>
      <w:marTop w:val="0"/>
      <w:marBottom w:val="0"/>
      <w:divBdr>
        <w:top w:val="none" w:sz="0" w:space="0" w:color="auto"/>
        <w:left w:val="none" w:sz="0" w:space="0" w:color="auto"/>
        <w:bottom w:val="none" w:sz="0" w:space="0" w:color="auto"/>
        <w:right w:val="none" w:sz="0" w:space="0" w:color="auto"/>
      </w:divBdr>
    </w:div>
    <w:div w:id="321009493">
      <w:bodyDiv w:val="1"/>
      <w:marLeft w:val="0"/>
      <w:marRight w:val="0"/>
      <w:marTop w:val="0"/>
      <w:marBottom w:val="0"/>
      <w:divBdr>
        <w:top w:val="none" w:sz="0" w:space="0" w:color="auto"/>
        <w:left w:val="none" w:sz="0" w:space="0" w:color="auto"/>
        <w:bottom w:val="none" w:sz="0" w:space="0" w:color="auto"/>
        <w:right w:val="none" w:sz="0" w:space="0" w:color="auto"/>
      </w:divBdr>
    </w:div>
    <w:div w:id="328866951">
      <w:bodyDiv w:val="1"/>
      <w:marLeft w:val="0"/>
      <w:marRight w:val="0"/>
      <w:marTop w:val="0"/>
      <w:marBottom w:val="0"/>
      <w:divBdr>
        <w:top w:val="none" w:sz="0" w:space="0" w:color="auto"/>
        <w:left w:val="none" w:sz="0" w:space="0" w:color="auto"/>
        <w:bottom w:val="none" w:sz="0" w:space="0" w:color="auto"/>
        <w:right w:val="none" w:sz="0" w:space="0" w:color="auto"/>
      </w:divBdr>
    </w:div>
    <w:div w:id="337124141">
      <w:bodyDiv w:val="1"/>
      <w:marLeft w:val="0"/>
      <w:marRight w:val="0"/>
      <w:marTop w:val="0"/>
      <w:marBottom w:val="0"/>
      <w:divBdr>
        <w:top w:val="none" w:sz="0" w:space="0" w:color="auto"/>
        <w:left w:val="none" w:sz="0" w:space="0" w:color="auto"/>
        <w:bottom w:val="none" w:sz="0" w:space="0" w:color="auto"/>
        <w:right w:val="none" w:sz="0" w:space="0" w:color="auto"/>
      </w:divBdr>
    </w:div>
    <w:div w:id="345864594">
      <w:bodyDiv w:val="1"/>
      <w:marLeft w:val="0"/>
      <w:marRight w:val="0"/>
      <w:marTop w:val="0"/>
      <w:marBottom w:val="0"/>
      <w:divBdr>
        <w:top w:val="none" w:sz="0" w:space="0" w:color="auto"/>
        <w:left w:val="none" w:sz="0" w:space="0" w:color="auto"/>
        <w:bottom w:val="none" w:sz="0" w:space="0" w:color="auto"/>
        <w:right w:val="none" w:sz="0" w:space="0" w:color="auto"/>
      </w:divBdr>
    </w:div>
    <w:div w:id="353649273">
      <w:bodyDiv w:val="1"/>
      <w:marLeft w:val="0"/>
      <w:marRight w:val="0"/>
      <w:marTop w:val="0"/>
      <w:marBottom w:val="0"/>
      <w:divBdr>
        <w:top w:val="none" w:sz="0" w:space="0" w:color="auto"/>
        <w:left w:val="none" w:sz="0" w:space="0" w:color="auto"/>
        <w:bottom w:val="none" w:sz="0" w:space="0" w:color="auto"/>
        <w:right w:val="none" w:sz="0" w:space="0" w:color="auto"/>
      </w:divBdr>
    </w:div>
    <w:div w:id="367221761">
      <w:bodyDiv w:val="1"/>
      <w:marLeft w:val="0"/>
      <w:marRight w:val="0"/>
      <w:marTop w:val="0"/>
      <w:marBottom w:val="0"/>
      <w:divBdr>
        <w:top w:val="none" w:sz="0" w:space="0" w:color="auto"/>
        <w:left w:val="none" w:sz="0" w:space="0" w:color="auto"/>
        <w:bottom w:val="none" w:sz="0" w:space="0" w:color="auto"/>
        <w:right w:val="none" w:sz="0" w:space="0" w:color="auto"/>
      </w:divBdr>
    </w:div>
    <w:div w:id="375393309">
      <w:bodyDiv w:val="1"/>
      <w:marLeft w:val="0"/>
      <w:marRight w:val="0"/>
      <w:marTop w:val="0"/>
      <w:marBottom w:val="0"/>
      <w:divBdr>
        <w:top w:val="none" w:sz="0" w:space="0" w:color="auto"/>
        <w:left w:val="none" w:sz="0" w:space="0" w:color="auto"/>
        <w:bottom w:val="none" w:sz="0" w:space="0" w:color="auto"/>
        <w:right w:val="none" w:sz="0" w:space="0" w:color="auto"/>
      </w:divBdr>
    </w:div>
    <w:div w:id="375591456">
      <w:bodyDiv w:val="1"/>
      <w:marLeft w:val="0"/>
      <w:marRight w:val="0"/>
      <w:marTop w:val="0"/>
      <w:marBottom w:val="0"/>
      <w:divBdr>
        <w:top w:val="none" w:sz="0" w:space="0" w:color="auto"/>
        <w:left w:val="none" w:sz="0" w:space="0" w:color="auto"/>
        <w:bottom w:val="none" w:sz="0" w:space="0" w:color="auto"/>
        <w:right w:val="none" w:sz="0" w:space="0" w:color="auto"/>
      </w:divBdr>
    </w:div>
    <w:div w:id="378675612">
      <w:bodyDiv w:val="1"/>
      <w:marLeft w:val="0"/>
      <w:marRight w:val="0"/>
      <w:marTop w:val="0"/>
      <w:marBottom w:val="0"/>
      <w:divBdr>
        <w:top w:val="none" w:sz="0" w:space="0" w:color="auto"/>
        <w:left w:val="none" w:sz="0" w:space="0" w:color="auto"/>
        <w:bottom w:val="none" w:sz="0" w:space="0" w:color="auto"/>
        <w:right w:val="none" w:sz="0" w:space="0" w:color="auto"/>
      </w:divBdr>
    </w:div>
    <w:div w:id="387194548">
      <w:bodyDiv w:val="1"/>
      <w:marLeft w:val="0"/>
      <w:marRight w:val="0"/>
      <w:marTop w:val="0"/>
      <w:marBottom w:val="0"/>
      <w:divBdr>
        <w:top w:val="none" w:sz="0" w:space="0" w:color="auto"/>
        <w:left w:val="none" w:sz="0" w:space="0" w:color="auto"/>
        <w:bottom w:val="none" w:sz="0" w:space="0" w:color="auto"/>
        <w:right w:val="none" w:sz="0" w:space="0" w:color="auto"/>
      </w:divBdr>
    </w:div>
    <w:div w:id="392974838">
      <w:bodyDiv w:val="1"/>
      <w:marLeft w:val="0"/>
      <w:marRight w:val="0"/>
      <w:marTop w:val="0"/>
      <w:marBottom w:val="0"/>
      <w:divBdr>
        <w:top w:val="none" w:sz="0" w:space="0" w:color="auto"/>
        <w:left w:val="none" w:sz="0" w:space="0" w:color="auto"/>
        <w:bottom w:val="none" w:sz="0" w:space="0" w:color="auto"/>
        <w:right w:val="none" w:sz="0" w:space="0" w:color="auto"/>
      </w:divBdr>
    </w:div>
    <w:div w:id="401760784">
      <w:bodyDiv w:val="1"/>
      <w:marLeft w:val="0"/>
      <w:marRight w:val="0"/>
      <w:marTop w:val="0"/>
      <w:marBottom w:val="0"/>
      <w:divBdr>
        <w:top w:val="none" w:sz="0" w:space="0" w:color="auto"/>
        <w:left w:val="none" w:sz="0" w:space="0" w:color="auto"/>
        <w:bottom w:val="none" w:sz="0" w:space="0" w:color="auto"/>
        <w:right w:val="none" w:sz="0" w:space="0" w:color="auto"/>
      </w:divBdr>
    </w:div>
    <w:div w:id="420377809">
      <w:bodyDiv w:val="1"/>
      <w:marLeft w:val="0"/>
      <w:marRight w:val="0"/>
      <w:marTop w:val="0"/>
      <w:marBottom w:val="0"/>
      <w:divBdr>
        <w:top w:val="none" w:sz="0" w:space="0" w:color="auto"/>
        <w:left w:val="none" w:sz="0" w:space="0" w:color="auto"/>
        <w:bottom w:val="none" w:sz="0" w:space="0" w:color="auto"/>
        <w:right w:val="none" w:sz="0" w:space="0" w:color="auto"/>
      </w:divBdr>
    </w:div>
    <w:div w:id="425656569">
      <w:bodyDiv w:val="1"/>
      <w:marLeft w:val="0"/>
      <w:marRight w:val="0"/>
      <w:marTop w:val="0"/>
      <w:marBottom w:val="0"/>
      <w:divBdr>
        <w:top w:val="none" w:sz="0" w:space="0" w:color="auto"/>
        <w:left w:val="none" w:sz="0" w:space="0" w:color="auto"/>
        <w:bottom w:val="none" w:sz="0" w:space="0" w:color="auto"/>
        <w:right w:val="none" w:sz="0" w:space="0" w:color="auto"/>
      </w:divBdr>
    </w:div>
    <w:div w:id="426074957">
      <w:bodyDiv w:val="1"/>
      <w:marLeft w:val="0"/>
      <w:marRight w:val="0"/>
      <w:marTop w:val="0"/>
      <w:marBottom w:val="0"/>
      <w:divBdr>
        <w:top w:val="none" w:sz="0" w:space="0" w:color="auto"/>
        <w:left w:val="none" w:sz="0" w:space="0" w:color="auto"/>
        <w:bottom w:val="none" w:sz="0" w:space="0" w:color="auto"/>
        <w:right w:val="none" w:sz="0" w:space="0" w:color="auto"/>
      </w:divBdr>
    </w:div>
    <w:div w:id="437674612">
      <w:bodyDiv w:val="1"/>
      <w:marLeft w:val="0"/>
      <w:marRight w:val="0"/>
      <w:marTop w:val="0"/>
      <w:marBottom w:val="0"/>
      <w:divBdr>
        <w:top w:val="none" w:sz="0" w:space="0" w:color="auto"/>
        <w:left w:val="none" w:sz="0" w:space="0" w:color="auto"/>
        <w:bottom w:val="none" w:sz="0" w:space="0" w:color="auto"/>
        <w:right w:val="none" w:sz="0" w:space="0" w:color="auto"/>
      </w:divBdr>
    </w:div>
    <w:div w:id="446315083">
      <w:bodyDiv w:val="1"/>
      <w:marLeft w:val="0"/>
      <w:marRight w:val="0"/>
      <w:marTop w:val="0"/>
      <w:marBottom w:val="0"/>
      <w:divBdr>
        <w:top w:val="none" w:sz="0" w:space="0" w:color="auto"/>
        <w:left w:val="none" w:sz="0" w:space="0" w:color="auto"/>
        <w:bottom w:val="none" w:sz="0" w:space="0" w:color="auto"/>
        <w:right w:val="none" w:sz="0" w:space="0" w:color="auto"/>
      </w:divBdr>
    </w:div>
    <w:div w:id="450632237">
      <w:bodyDiv w:val="1"/>
      <w:marLeft w:val="0"/>
      <w:marRight w:val="0"/>
      <w:marTop w:val="0"/>
      <w:marBottom w:val="0"/>
      <w:divBdr>
        <w:top w:val="none" w:sz="0" w:space="0" w:color="auto"/>
        <w:left w:val="none" w:sz="0" w:space="0" w:color="auto"/>
        <w:bottom w:val="none" w:sz="0" w:space="0" w:color="auto"/>
        <w:right w:val="none" w:sz="0" w:space="0" w:color="auto"/>
      </w:divBdr>
    </w:div>
    <w:div w:id="453838678">
      <w:bodyDiv w:val="1"/>
      <w:marLeft w:val="0"/>
      <w:marRight w:val="0"/>
      <w:marTop w:val="0"/>
      <w:marBottom w:val="0"/>
      <w:divBdr>
        <w:top w:val="none" w:sz="0" w:space="0" w:color="auto"/>
        <w:left w:val="none" w:sz="0" w:space="0" w:color="auto"/>
        <w:bottom w:val="none" w:sz="0" w:space="0" w:color="auto"/>
        <w:right w:val="none" w:sz="0" w:space="0" w:color="auto"/>
      </w:divBdr>
    </w:div>
    <w:div w:id="461271311">
      <w:bodyDiv w:val="1"/>
      <w:marLeft w:val="0"/>
      <w:marRight w:val="0"/>
      <w:marTop w:val="0"/>
      <w:marBottom w:val="0"/>
      <w:divBdr>
        <w:top w:val="none" w:sz="0" w:space="0" w:color="auto"/>
        <w:left w:val="none" w:sz="0" w:space="0" w:color="auto"/>
        <w:bottom w:val="none" w:sz="0" w:space="0" w:color="auto"/>
        <w:right w:val="none" w:sz="0" w:space="0" w:color="auto"/>
      </w:divBdr>
    </w:div>
    <w:div w:id="462424573">
      <w:bodyDiv w:val="1"/>
      <w:marLeft w:val="0"/>
      <w:marRight w:val="0"/>
      <w:marTop w:val="0"/>
      <w:marBottom w:val="0"/>
      <w:divBdr>
        <w:top w:val="none" w:sz="0" w:space="0" w:color="auto"/>
        <w:left w:val="none" w:sz="0" w:space="0" w:color="auto"/>
        <w:bottom w:val="none" w:sz="0" w:space="0" w:color="auto"/>
        <w:right w:val="none" w:sz="0" w:space="0" w:color="auto"/>
      </w:divBdr>
    </w:div>
    <w:div w:id="462844130">
      <w:bodyDiv w:val="1"/>
      <w:marLeft w:val="0"/>
      <w:marRight w:val="0"/>
      <w:marTop w:val="0"/>
      <w:marBottom w:val="0"/>
      <w:divBdr>
        <w:top w:val="none" w:sz="0" w:space="0" w:color="auto"/>
        <w:left w:val="none" w:sz="0" w:space="0" w:color="auto"/>
        <w:bottom w:val="none" w:sz="0" w:space="0" w:color="auto"/>
        <w:right w:val="none" w:sz="0" w:space="0" w:color="auto"/>
      </w:divBdr>
    </w:div>
    <w:div w:id="465203693">
      <w:bodyDiv w:val="1"/>
      <w:marLeft w:val="0"/>
      <w:marRight w:val="0"/>
      <w:marTop w:val="0"/>
      <w:marBottom w:val="0"/>
      <w:divBdr>
        <w:top w:val="none" w:sz="0" w:space="0" w:color="auto"/>
        <w:left w:val="none" w:sz="0" w:space="0" w:color="auto"/>
        <w:bottom w:val="none" w:sz="0" w:space="0" w:color="auto"/>
        <w:right w:val="none" w:sz="0" w:space="0" w:color="auto"/>
      </w:divBdr>
    </w:div>
    <w:div w:id="465852184">
      <w:bodyDiv w:val="1"/>
      <w:marLeft w:val="0"/>
      <w:marRight w:val="0"/>
      <w:marTop w:val="0"/>
      <w:marBottom w:val="0"/>
      <w:divBdr>
        <w:top w:val="none" w:sz="0" w:space="0" w:color="auto"/>
        <w:left w:val="none" w:sz="0" w:space="0" w:color="auto"/>
        <w:bottom w:val="none" w:sz="0" w:space="0" w:color="auto"/>
        <w:right w:val="none" w:sz="0" w:space="0" w:color="auto"/>
      </w:divBdr>
    </w:div>
    <w:div w:id="466244644">
      <w:bodyDiv w:val="1"/>
      <w:marLeft w:val="0"/>
      <w:marRight w:val="0"/>
      <w:marTop w:val="0"/>
      <w:marBottom w:val="0"/>
      <w:divBdr>
        <w:top w:val="none" w:sz="0" w:space="0" w:color="auto"/>
        <w:left w:val="none" w:sz="0" w:space="0" w:color="auto"/>
        <w:bottom w:val="none" w:sz="0" w:space="0" w:color="auto"/>
        <w:right w:val="none" w:sz="0" w:space="0" w:color="auto"/>
      </w:divBdr>
    </w:div>
    <w:div w:id="466359905">
      <w:bodyDiv w:val="1"/>
      <w:marLeft w:val="0"/>
      <w:marRight w:val="0"/>
      <w:marTop w:val="0"/>
      <w:marBottom w:val="0"/>
      <w:divBdr>
        <w:top w:val="none" w:sz="0" w:space="0" w:color="auto"/>
        <w:left w:val="none" w:sz="0" w:space="0" w:color="auto"/>
        <w:bottom w:val="none" w:sz="0" w:space="0" w:color="auto"/>
        <w:right w:val="none" w:sz="0" w:space="0" w:color="auto"/>
      </w:divBdr>
    </w:div>
    <w:div w:id="466899622">
      <w:bodyDiv w:val="1"/>
      <w:marLeft w:val="0"/>
      <w:marRight w:val="0"/>
      <w:marTop w:val="0"/>
      <w:marBottom w:val="0"/>
      <w:divBdr>
        <w:top w:val="none" w:sz="0" w:space="0" w:color="auto"/>
        <w:left w:val="none" w:sz="0" w:space="0" w:color="auto"/>
        <w:bottom w:val="none" w:sz="0" w:space="0" w:color="auto"/>
        <w:right w:val="none" w:sz="0" w:space="0" w:color="auto"/>
      </w:divBdr>
    </w:div>
    <w:div w:id="472790592">
      <w:bodyDiv w:val="1"/>
      <w:marLeft w:val="0"/>
      <w:marRight w:val="0"/>
      <w:marTop w:val="0"/>
      <w:marBottom w:val="0"/>
      <w:divBdr>
        <w:top w:val="none" w:sz="0" w:space="0" w:color="auto"/>
        <w:left w:val="none" w:sz="0" w:space="0" w:color="auto"/>
        <w:bottom w:val="none" w:sz="0" w:space="0" w:color="auto"/>
        <w:right w:val="none" w:sz="0" w:space="0" w:color="auto"/>
      </w:divBdr>
    </w:div>
    <w:div w:id="480387520">
      <w:bodyDiv w:val="1"/>
      <w:marLeft w:val="0"/>
      <w:marRight w:val="0"/>
      <w:marTop w:val="0"/>
      <w:marBottom w:val="0"/>
      <w:divBdr>
        <w:top w:val="none" w:sz="0" w:space="0" w:color="auto"/>
        <w:left w:val="none" w:sz="0" w:space="0" w:color="auto"/>
        <w:bottom w:val="none" w:sz="0" w:space="0" w:color="auto"/>
        <w:right w:val="none" w:sz="0" w:space="0" w:color="auto"/>
      </w:divBdr>
    </w:div>
    <w:div w:id="504514380">
      <w:bodyDiv w:val="1"/>
      <w:marLeft w:val="0"/>
      <w:marRight w:val="0"/>
      <w:marTop w:val="0"/>
      <w:marBottom w:val="0"/>
      <w:divBdr>
        <w:top w:val="none" w:sz="0" w:space="0" w:color="auto"/>
        <w:left w:val="none" w:sz="0" w:space="0" w:color="auto"/>
        <w:bottom w:val="none" w:sz="0" w:space="0" w:color="auto"/>
        <w:right w:val="none" w:sz="0" w:space="0" w:color="auto"/>
      </w:divBdr>
    </w:div>
    <w:div w:id="505829491">
      <w:bodyDiv w:val="1"/>
      <w:marLeft w:val="0"/>
      <w:marRight w:val="0"/>
      <w:marTop w:val="0"/>
      <w:marBottom w:val="0"/>
      <w:divBdr>
        <w:top w:val="none" w:sz="0" w:space="0" w:color="auto"/>
        <w:left w:val="none" w:sz="0" w:space="0" w:color="auto"/>
        <w:bottom w:val="none" w:sz="0" w:space="0" w:color="auto"/>
        <w:right w:val="none" w:sz="0" w:space="0" w:color="auto"/>
      </w:divBdr>
    </w:div>
    <w:div w:id="506287354">
      <w:bodyDiv w:val="1"/>
      <w:marLeft w:val="0"/>
      <w:marRight w:val="0"/>
      <w:marTop w:val="0"/>
      <w:marBottom w:val="0"/>
      <w:divBdr>
        <w:top w:val="none" w:sz="0" w:space="0" w:color="auto"/>
        <w:left w:val="none" w:sz="0" w:space="0" w:color="auto"/>
        <w:bottom w:val="none" w:sz="0" w:space="0" w:color="auto"/>
        <w:right w:val="none" w:sz="0" w:space="0" w:color="auto"/>
      </w:divBdr>
    </w:div>
    <w:div w:id="507982411">
      <w:bodyDiv w:val="1"/>
      <w:marLeft w:val="0"/>
      <w:marRight w:val="0"/>
      <w:marTop w:val="0"/>
      <w:marBottom w:val="0"/>
      <w:divBdr>
        <w:top w:val="none" w:sz="0" w:space="0" w:color="auto"/>
        <w:left w:val="none" w:sz="0" w:space="0" w:color="auto"/>
        <w:bottom w:val="none" w:sz="0" w:space="0" w:color="auto"/>
        <w:right w:val="none" w:sz="0" w:space="0" w:color="auto"/>
      </w:divBdr>
    </w:div>
    <w:div w:id="515466775">
      <w:bodyDiv w:val="1"/>
      <w:marLeft w:val="0"/>
      <w:marRight w:val="0"/>
      <w:marTop w:val="0"/>
      <w:marBottom w:val="0"/>
      <w:divBdr>
        <w:top w:val="none" w:sz="0" w:space="0" w:color="auto"/>
        <w:left w:val="none" w:sz="0" w:space="0" w:color="auto"/>
        <w:bottom w:val="none" w:sz="0" w:space="0" w:color="auto"/>
        <w:right w:val="none" w:sz="0" w:space="0" w:color="auto"/>
      </w:divBdr>
    </w:div>
    <w:div w:id="522016939">
      <w:bodyDiv w:val="1"/>
      <w:marLeft w:val="0"/>
      <w:marRight w:val="0"/>
      <w:marTop w:val="0"/>
      <w:marBottom w:val="0"/>
      <w:divBdr>
        <w:top w:val="none" w:sz="0" w:space="0" w:color="auto"/>
        <w:left w:val="none" w:sz="0" w:space="0" w:color="auto"/>
        <w:bottom w:val="none" w:sz="0" w:space="0" w:color="auto"/>
        <w:right w:val="none" w:sz="0" w:space="0" w:color="auto"/>
      </w:divBdr>
    </w:div>
    <w:div w:id="535626714">
      <w:bodyDiv w:val="1"/>
      <w:marLeft w:val="0"/>
      <w:marRight w:val="0"/>
      <w:marTop w:val="0"/>
      <w:marBottom w:val="0"/>
      <w:divBdr>
        <w:top w:val="none" w:sz="0" w:space="0" w:color="auto"/>
        <w:left w:val="none" w:sz="0" w:space="0" w:color="auto"/>
        <w:bottom w:val="none" w:sz="0" w:space="0" w:color="auto"/>
        <w:right w:val="none" w:sz="0" w:space="0" w:color="auto"/>
      </w:divBdr>
    </w:div>
    <w:div w:id="535970684">
      <w:bodyDiv w:val="1"/>
      <w:marLeft w:val="0"/>
      <w:marRight w:val="0"/>
      <w:marTop w:val="0"/>
      <w:marBottom w:val="0"/>
      <w:divBdr>
        <w:top w:val="none" w:sz="0" w:space="0" w:color="auto"/>
        <w:left w:val="none" w:sz="0" w:space="0" w:color="auto"/>
        <w:bottom w:val="none" w:sz="0" w:space="0" w:color="auto"/>
        <w:right w:val="none" w:sz="0" w:space="0" w:color="auto"/>
      </w:divBdr>
    </w:div>
    <w:div w:id="543371670">
      <w:bodyDiv w:val="1"/>
      <w:marLeft w:val="0"/>
      <w:marRight w:val="0"/>
      <w:marTop w:val="0"/>
      <w:marBottom w:val="0"/>
      <w:divBdr>
        <w:top w:val="none" w:sz="0" w:space="0" w:color="auto"/>
        <w:left w:val="none" w:sz="0" w:space="0" w:color="auto"/>
        <w:bottom w:val="none" w:sz="0" w:space="0" w:color="auto"/>
        <w:right w:val="none" w:sz="0" w:space="0" w:color="auto"/>
      </w:divBdr>
    </w:div>
    <w:div w:id="551889238">
      <w:bodyDiv w:val="1"/>
      <w:marLeft w:val="0"/>
      <w:marRight w:val="0"/>
      <w:marTop w:val="0"/>
      <w:marBottom w:val="0"/>
      <w:divBdr>
        <w:top w:val="none" w:sz="0" w:space="0" w:color="auto"/>
        <w:left w:val="none" w:sz="0" w:space="0" w:color="auto"/>
        <w:bottom w:val="none" w:sz="0" w:space="0" w:color="auto"/>
        <w:right w:val="none" w:sz="0" w:space="0" w:color="auto"/>
      </w:divBdr>
    </w:div>
    <w:div w:id="557277822">
      <w:bodyDiv w:val="1"/>
      <w:marLeft w:val="0"/>
      <w:marRight w:val="0"/>
      <w:marTop w:val="0"/>
      <w:marBottom w:val="0"/>
      <w:divBdr>
        <w:top w:val="none" w:sz="0" w:space="0" w:color="auto"/>
        <w:left w:val="none" w:sz="0" w:space="0" w:color="auto"/>
        <w:bottom w:val="none" w:sz="0" w:space="0" w:color="auto"/>
        <w:right w:val="none" w:sz="0" w:space="0" w:color="auto"/>
      </w:divBdr>
    </w:div>
    <w:div w:id="567691288">
      <w:bodyDiv w:val="1"/>
      <w:marLeft w:val="0"/>
      <w:marRight w:val="0"/>
      <w:marTop w:val="0"/>
      <w:marBottom w:val="0"/>
      <w:divBdr>
        <w:top w:val="none" w:sz="0" w:space="0" w:color="auto"/>
        <w:left w:val="none" w:sz="0" w:space="0" w:color="auto"/>
        <w:bottom w:val="none" w:sz="0" w:space="0" w:color="auto"/>
        <w:right w:val="none" w:sz="0" w:space="0" w:color="auto"/>
      </w:divBdr>
    </w:div>
    <w:div w:id="571161548">
      <w:bodyDiv w:val="1"/>
      <w:marLeft w:val="0"/>
      <w:marRight w:val="0"/>
      <w:marTop w:val="0"/>
      <w:marBottom w:val="0"/>
      <w:divBdr>
        <w:top w:val="none" w:sz="0" w:space="0" w:color="auto"/>
        <w:left w:val="none" w:sz="0" w:space="0" w:color="auto"/>
        <w:bottom w:val="none" w:sz="0" w:space="0" w:color="auto"/>
        <w:right w:val="none" w:sz="0" w:space="0" w:color="auto"/>
      </w:divBdr>
    </w:div>
    <w:div w:id="577635450">
      <w:bodyDiv w:val="1"/>
      <w:marLeft w:val="0"/>
      <w:marRight w:val="0"/>
      <w:marTop w:val="0"/>
      <w:marBottom w:val="0"/>
      <w:divBdr>
        <w:top w:val="none" w:sz="0" w:space="0" w:color="auto"/>
        <w:left w:val="none" w:sz="0" w:space="0" w:color="auto"/>
        <w:bottom w:val="none" w:sz="0" w:space="0" w:color="auto"/>
        <w:right w:val="none" w:sz="0" w:space="0" w:color="auto"/>
      </w:divBdr>
    </w:div>
    <w:div w:id="577789418">
      <w:bodyDiv w:val="1"/>
      <w:marLeft w:val="0"/>
      <w:marRight w:val="0"/>
      <w:marTop w:val="0"/>
      <w:marBottom w:val="0"/>
      <w:divBdr>
        <w:top w:val="none" w:sz="0" w:space="0" w:color="auto"/>
        <w:left w:val="none" w:sz="0" w:space="0" w:color="auto"/>
        <w:bottom w:val="none" w:sz="0" w:space="0" w:color="auto"/>
        <w:right w:val="none" w:sz="0" w:space="0" w:color="auto"/>
      </w:divBdr>
    </w:div>
    <w:div w:id="579407586">
      <w:bodyDiv w:val="1"/>
      <w:marLeft w:val="0"/>
      <w:marRight w:val="0"/>
      <w:marTop w:val="0"/>
      <w:marBottom w:val="0"/>
      <w:divBdr>
        <w:top w:val="none" w:sz="0" w:space="0" w:color="auto"/>
        <w:left w:val="none" w:sz="0" w:space="0" w:color="auto"/>
        <w:bottom w:val="none" w:sz="0" w:space="0" w:color="auto"/>
        <w:right w:val="none" w:sz="0" w:space="0" w:color="auto"/>
      </w:divBdr>
    </w:div>
    <w:div w:id="579483472">
      <w:bodyDiv w:val="1"/>
      <w:marLeft w:val="0"/>
      <w:marRight w:val="0"/>
      <w:marTop w:val="0"/>
      <w:marBottom w:val="0"/>
      <w:divBdr>
        <w:top w:val="none" w:sz="0" w:space="0" w:color="auto"/>
        <w:left w:val="none" w:sz="0" w:space="0" w:color="auto"/>
        <w:bottom w:val="none" w:sz="0" w:space="0" w:color="auto"/>
        <w:right w:val="none" w:sz="0" w:space="0" w:color="auto"/>
      </w:divBdr>
    </w:div>
    <w:div w:id="579874685">
      <w:bodyDiv w:val="1"/>
      <w:marLeft w:val="0"/>
      <w:marRight w:val="0"/>
      <w:marTop w:val="0"/>
      <w:marBottom w:val="0"/>
      <w:divBdr>
        <w:top w:val="none" w:sz="0" w:space="0" w:color="auto"/>
        <w:left w:val="none" w:sz="0" w:space="0" w:color="auto"/>
        <w:bottom w:val="none" w:sz="0" w:space="0" w:color="auto"/>
        <w:right w:val="none" w:sz="0" w:space="0" w:color="auto"/>
      </w:divBdr>
    </w:div>
    <w:div w:id="581791536">
      <w:bodyDiv w:val="1"/>
      <w:marLeft w:val="0"/>
      <w:marRight w:val="0"/>
      <w:marTop w:val="0"/>
      <w:marBottom w:val="0"/>
      <w:divBdr>
        <w:top w:val="none" w:sz="0" w:space="0" w:color="auto"/>
        <w:left w:val="none" w:sz="0" w:space="0" w:color="auto"/>
        <w:bottom w:val="none" w:sz="0" w:space="0" w:color="auto"/>
        <w:right w:val="none" w:sz="0" w:space="0" w:color="auto"/>
      </w:divBdr>
    </w:div>
    <w:div w:id="583609166">
      <w:bodyDiv w:val="1"/>
      <w:marLeft w:val="0"/>
      <w:marRight w:val="0"/>
      <w:marTop w:val="0"/>
      <w:marBottom w:val="0"/>
      <w:divBdr>
        <w:top w:val="none" w:sz="0" w:space="0" w:color="auto"/>
        <w:left w:val="none" w:sz="0" w:space="0" w:color="auto"/>
        <w:bottom w:val="none" w:sz="0" w:space="0" w:color="auto"/>
        <w:right w:val="none" w:sz="0" w:space="0" w:color="auto"/>
      </w:divBdr>
    </w:div>
    <w:div w:id="586421855">
      <w:bodyDiv w:val="1"/>
      <w:marLeft w:val="0"/>
      <w:marRight w:val="0"/>
      <w:marTop w:val="0"/>
      <w:marBottom w:val="0"/>
      <w:divBdr>
        <w:top w:val="none" w:sz="0" w:space="0" w:color="auto"/>
        <w:left w:val="none" w:sz="0" w:space="0" w:color="auto"/>
        <w:bottom w:val="none" w:sz="0" w:space="0" w:color="auto"/>
        <w:right w:val="none" w:sz="0" w:space="0" w:color="auto"/>
      </w:divBdr>
    </w:div>
    <w:div w:id="587420816">
      <w:bodyDiv w:val="1"/>
      <w:marLeft w:val="0"/>
      <w:marRight w:val="0"/>
      <w:marTop w:val="0"/>
      <w:marBottom w:val="0"/>
      <w:divBdr>
        <w:top w:val="none" w:sz="0" w:space="0" w:color="auto"/>
        <w:left w:val="none" w:sz="0" w:space="0" w:color="auto"/>
        <w:bottom w:val="none" w:sz="0" w:space="0" w:color="auto"/>
        <w:right w:val="none" w:sz="0" w:space="0" w:color="auto"/>
      </w:divBdr>
    </w:div>
    <w:div w:id="590048430">
      <w:bodyDiv w:val="1"/>
      <w:marLeft w:val="0"/>
      <w:marRight w:val="0"/>
      <w:marTop w:val="0"/>
      <w:marBottom w:val="0"/>
      <w:divBdr>
        <w:top w:val="none" w:sz="0" w:space="0" w:color="auto"/>
        <w:left w:val="none" w:sz="0" w:space="0" w:color="auto"/>
        <w:bottom w:val="none" w:sz="0" w:space="0" w:color="auto"/>
        <w:right w:val="none" w:sz="0" w:space="0" w:color="auto"/>
      </w:divBdr>
    </w:div>
    <w:div w:id="591545255">
      <w:bodyDiv w:val="1"/>
      <w:marLeft w:val="0"/>
      <w:marRight w:val="0"/>
      <w:marTop w:val="0"/>
      <w:marBottom w:val="0"/>
      <w:divBdr>
        <w:top w:val="none" w:sz="0" w:space="0" w:color="auto"/>
        <w:left w:val="none" w:sz="0" w:space="0" w:color="auto"/>
        <w:bottom w:val="none" w:sz="0" w:space="0" w:color="auto"/>
        <w:right w:val="none" w:sz="0" w:space="0" w:color="auto"/>
      </w:divBdr>
    </w:div>
    <w:div w:id="595333855">
      <w:bodyDiv w:val="1"/>
      <w:marLeft w:val="0"/>
      <w:marRight w:val="0"/>
      <w:marTop w:val="0"/>
      <w:marBottom w:val="0"/>
      <w:divBdr>
        <w:top w:val="none" w:sz="0" w:space="0" w:color="auto"/>
        <w:left w:val="none" w:sz="0" w:space="0" w:color="auto"/>
        <w:bottom w:val="none" w:sz="0" w:space="0" w:color="auto"/>
        <w:right w:val="none" w:sz="0" w:space="0" w:color="auto"/>
      </w:divBdr>
    </w:div>
    <w:div w:id="596334174">
      <w:bodyDiv w:val="1"/>
      <w:marLeft w:val="0"/>
      <w:marRight w:val="0"/>
      <w:marTop w:val="0"/>
      <w:marBottom w:val="0"/>
      <w:divBdr>
        <w:top w:val="none" w:sz="0" w:space="0" w:color="auto"/>
        <w:left w:val="none" w:sz="0" w:space="0" w:color="auto"/>
        <w:bottom w:val="none" w:sz="0" w:space="0" w:color="auto"/>
        <w:right w:val="none" w:sz="0" w:space="0" w:color="auto"/>
      </w:divBdr>
    </w:div>
    <w:div w:id="605699666">
      <w:bodyDiv w:val="1"/>
      <w:marLeft w:val="0"/>
      <w:marRight w:val="0"/>
      <w:marTop w:val="0"/>
      <w:marBottom w:val="0"/>
      <w:divBdr>
        <w:top w:val="none" w:sz="0" w:space="0" w:color="auto"/>
        <w:left w:val="none" w:sz="0" w:space="0" w:color="auto"/>
        <w:bottom w:val="none" w:sz="0" w:space="0" w:color="auto"/>
        <w:right w:val="none" w:sz="0" w:space="0" w:color="auto"/>
      </w:divBdr>
    </w:div>
    <w:div w:id="607591865">
      <w:bodyDiv w:val="1"/>
      <w:marLeft w:val="0"/>
      <w:marRight w:val="0"/>
      <w:marTop w:val="0"/>
      <w:marBottom w:val="0"/>
      <w:divBdr>
        <w:top w:val="none" w:sz="0" w:space="0" w:color="auto"/>
        <w:left w:val="none" w:sz="0" w:space="0" w:color="auto"/>
        <w:bottom w:val="none" w:sz="0" w:space="0" w:color="auto"/>
        <w:right w:val="none" w:sz="0" w:space="0" w:color="auto"/>
      </w:divBdr>
    </w:div>
    <w:div w:id="616106410">
      <w:bodyDiv w:val="1"/>
      <w:marLeft w:val="0"/>
      <w:marRight w:val="0"/>
      <w:marTop w:val="0"/>
      <w:marBottom w:val="0"/>
      <w:divBdr>
        <w:top w:val="none" w:sz="0" w:space="0" w:color="auto"/>
        <w:left w:val="none" w:sz="0" w:space="0" w:color="auto"/>
        <w:bottom w:val="none" w:sz="0" w:space="0" w:color="auto"/>
        <w:right w:val="none" w:sz="0" w:space="0" w:color="auto"/>
      </w:divBdr>
    </w:div>
    <w:div w:id="619343172">
      <w:bodyDiv w:val="1"/>
      <w:marLeft w:val="0"/>
      <w:marRight w:val="0"/>
      <w:marTop w:val="0"/>
      <w:marBottom w:val="0"/>
      <w:divBdr>
        <w:top w:val="none" w:sz="0" w:space="0" w:color="auto"/>
        <w:left w:val="none" w:sz="0" w:space="0" w:color="auto"/>
        <w:bottom w:val="none" w:sz="0" w:space="0" w:color="auto"/>
        <w:right w:val="none" w:sz="0" w:space="0" w:color="auto"/>
      </w:divBdr>
    </w:div>
    <w:div w:id="629016391">
      <w:bodyDiv w:val="1"/>
      <w:marLeft w:val="0"/>
      <w:marRight w:val="0"/>
      <w:marTop w:val="0"/>
      <w:marBottom w:val="0"/>
      <w:divBdr>
        <w:top w:val="none" w:sz="0" w:space="0" w:color="auto"/>
        <w:left w:val="none" w:sz="0" w:space="0" w:color="auto"/>
        <w:bottom w:val="none" w:sz="0" w:space="0" w:color="auto"/>
        <w:right w:val="none" w:sz="0" w:space="0" w:color="auto"/>
      </w:divBdr>
    </w:div>
    <w:div w:id="636956158">
      <w:bodyDiv w:val="1"/>
      <w:marLeft w:val="0"/>
      <w:marRight w:val="0"/>
      <w:marTop w:val="0"/>
      <w:marBottom w:val="0"/>
      <w:divBdr>
        <w:top w:val="none" w:sz="0" w:space="0" w:color="auto"/>
        <w:left w:val="none" w:sz="0" w:space="0" w:color="auto"/>
        <w:bottom w:val="none" w:sz="0" w:space="0" w:color="auto"/>
        <w:right w:val="none" w:sz="0" w:space="0" w:color="auto"/>
      </w:divBdr>
    </w:div>
    <w:div w:id="663242813">
      <w:bodyDiv w:val="1"/>
      <w:marLeft w:val="0"/>
      <w:marRight w:val="0"/>
      <w:marTop w:val="0"/>
      <w:marBottom w:val="0"/>
      <w:divBdr>
        <w:top w:val="none" w:sz="0" w:space="0" w:color="auto"/>
        <w:left w:val="none" w:sz="0" w:space="0" w:color="auto"/>
        <w:bottom w:val="none" w:sz="0" w:space="0" w:color="auto"/>
        <w:right w:val="none" w:sz="0" w:space="0" w:color="auto"/>
      </w:divBdr>
    </w:div>
    <w:div w:id="671418587">
      <w:bodyDiv w:val="1"/>
      <w:marLeft w:val="0"/>
      <w:marRight w:val="0"/>
      <w:marTop w:val="0"/>
      <w:marBottom w:val="0"/>
      <w:divBdr>
        <w:top w:val="none" w:sz="0" w:space="0" w:color="auto"/>
        <w:left w:val="none" w:sz="0" w:space="0" w:color="auto"/>
        <w:bottom w:val="none" w:sz="0" w:space="0" w:color="auto"/>
        <w:right w:val="none" w:sz="0" w:space="0" w:color="auto"/>
      </w:divBdr>
    </w:div>
    <w:div w:id="675571254">
      <w:bodyDiv w:val="1"/>
      <w:marLeft w:val="0"/>
      <w:marRight w:val="0"/>
      <w:marTop w:val="0"/>
      <w:marBottom w:val="0"/>
      <w:divBdr>
        <w:top w:val="none" w:sz="0" w:space="0" w:color="auto"/>
        <w:left w:val="none" w:sz="0" w:space="0" w:color="auto"/>
        <w:bottom w:val="none" w:sz="0" w:space="0" w:color="auto"/>
        <w:right w:val="none" w:sz="0" w:space="0" w:color="auto"/>
      </w:divBdr>
    </w:div>
    <w:div w:id="678510683">
      <w:bodyDiv w:val="1"/>
      <w:marLeft w:val="0"/>
      <w:marRight w:val="0"/>
      <w:marTop w:val="0"/>
      <w:marBottom w:val="0"/>
      <w:divBdr>
        <w:top w:val="none" w:sz="0" w:space="0" w:color="auto"/>
        <w:left w:val="none" w:sz="0" w:space="0" w:color="auto"/>
        <w:bottom w:val="none" w:sz="0" w:space="0" w:color="auto"/>
        <w:right w:val="none" w:sz="0" w:space="0" w:color="auto"/>
      </w:divBdr>
    </w:div>
    <w:div w:id="704716337">
      <w:bodyDiv w:val="1"/>
      <w:marLeft w:val="0"/>
      <w:marRight w:val="0"/>
      <w:marTop w:val="0"/>
      <w:marBottom w:val="0"/>
      <w:divBdr>
        <w:top w:val="none" w:sz="0" w:space="0" w:color="auto"/>
        <w:left w:val="none" w:sz="0" w:space="0" w:color="auto"/>
        <w:bottom w:val="none" w:sz="0" w:space="0" w:color="auto"/>
        <w:right w:val="none" w:sz="0" w:space="0" w:color="auto"/>
      </w:divBdr>
    </w:div>
    <w:div w:id="705257094">
      <w:bodyDiv w:val="1"/>
      <w:marLeft w:val="0"/>
      <w:marRight w:val="0"/>
      <w:marTop w:val="0"/>
      <w:marBottom w:val="0"/>
      <w:divBdr>
        <w:top w:val="none" w:sz="0" w:space="0" w:color="auto"/>
        <w:left w:val="none" w:sz="0" w:space="0" w:color="auto"/>
        <w:bottom w:val="none" w:sz="0" w:space="0" w:color="auto"/>
        <w:right w:val="none" w:sz="0" w:space="0" w:color="auto"/>
      </w:divBdr>
    </w:div>
    <w:div w:id="710954246">
      <w:bodyDiv w:val="1"/>
      <w:marLeft w:val="0"/>
      <w:marRight w:val="0"/>
      <w:marTop w:val="0"/>
      <w:marBottom w:val="0"/>
      <w:divBdr>
        <w:top w:val="none" w:sz="0" w:space="0" w:color="auto"/>
        <w:left w:val="none" w:sz="0" w:space="0" w:color="auto"/>
        <w:bottom w:val="none" w:sz="0" w:space="0" w:color="auto"/>
        <w:right w:val="none" w:sz="0" w:space="0" w:color="auto"/>
      </w:divBdr>
    </w:div>
    <w:div w:id="714426030">
      <w:bodyDiv w:val="1"/>
      <w:marLeft w:val="0"/>
      <w:marRight w:val="0"/>
      <w:marTop w:val="0"/>
      <w:marBottom w:val="0"/>
      <w:divBdr>
        <w:top w:val="none" w:sz="0" w:space="0" w:color="auto"/>
        <w:left w:val="none" w:sz="0" w:space="0" w:color="auto"/>
        <w:bottom w:val="none" w:sz="0" w:space="0" w:color="auto"/>
        <w:right w:val="none" w:sz="0" w:space="0" w:color="auto"/>
      </w:divBdr>
    </w:div>
    <w:div w:id="722095881">
      <w:bodyDiv w:val="1"/>
      <w:marLeft w:val="0"/>
      <w:marRight w:val="0"/>
      <w:marTop w:val="0"/>
      <w:marBottom w:val="0"/>
      <w:divBdr>
        <w:top w:val="none" w:sz="0" w:space="0" w:color="auto"/>
        <w:left w:val="none" w:sz="0" w:space="0" w:color="auto"/>
        <w:bottom w:val="none" w:sz="0" w:space="0" w:color="auto"/>
        <w:right w:val="none" w:sz="0" w:space="0" w:color="auto"/>
      </w:divBdr>
    </w:div>
    <w:div w:id="726147589">
      <w:bodyDiv w:val="1"/>
      <w:marLeft w:val="0"/>
      <w:marRight w:val="0"/>
      <w:marTop w:val="0"/>
      <w:marBottom w:val="0"/>
      <w:divBdr>
        <w:top w:val="none" w:sz="0" w:space="0" w:color="auto"/>
        <w:left w:val="none" w:sz="0" w:space="0" w:color="auto"/>
        <w:bottom w:val="none" w:sz="0" w:space="0" w:color="auto"/>
        <w:right w:val="none" w:sz="0" w:space="0" w:color="auto"/>
      </w:divBdr>
    </w:div>
    <w:div w:id="730423666">
      <w:bodyDiv w:val="1"/>
      <w:marLeft w:val="0"/>
      <w:marRight w:val="0"/>
      <w:marTop w:val="0"/>
      <w:marBottom w:val="0"/>
      <w:divBdr>
        <w:top w:val="none" w:sz="0" w:space="0" w:color="auto"/>
        <w:left w:val="none" w:sz="0" w:space="0" w:color="auto"/>
        <w:bottom w:val="none" w:sz="0" w:space="0" w:color="auto"/>
        <w:right w:val="none" w:sz="0" w:space="0" w:color="auto"/>
      </w:divBdr>
    </w:div>
    <w:div w:id="731198925">
      <w:bodyDiv w:val="1"/>
      <w:marLeft w:val="0"/>
      <w:marRight w:val="0"/>
      <w:marTop w:val="0"/>
      <w:marBottom w:val="0"/>
      <w:divBdr>
        <w:top w:val="none" w:sz="0" w:space="0" w:color="auto"/>
        <w:left w:val="none" w:sz="0" w:space="0" w:color="auto"/>
        <w:bottom w:val="none" w:sz="0" w:space="0" w:color="auto"/>
        <w:right w:val="none" w:sz="0" w:space="0" w:color="auto"/>
      </w:divBdr>
    </w:div>
    <w:div w:id="733892346">
      <w:bodyDiv w:val="1"/>
      <w:marLeft w:val="0"/>
      <w:marRight w:val="0"/>
      <w:marTop w:val="0"/>
      <w:marBottom w:val="0"/>
      <w:divBdr>
        <w:top w:val="none" w:sz="0" w:space="0" w:color="auto"/>
        <w:left w:val="none" w:sz="0" w:space="0" w:color="auto"/>
        <w:bottom w:val="none" w:sz="0" w:space="0" w:color="auto"/>
        <w:right w:val="none" w:sz="0" w:space="0" w:color="auto"/>
      </w:divBdr>
    </w:div>
    <w:div w:id="735589605">
      <w:bodyDiv w:val="1"/>
      <w:marLeft w:val="0"/>
      <w:marRight w:val="0"/>
      <w:marTop w:val="0"/>
      <w:marBottom w:val="0"/>
      <w:divBdr>
        <w:top w:val="none" w:sz="0" w:space="0" w:color="auto"/>
        <w:left w:val="none" w:sz="0" w:space="0" w:color="auto"/>
        <w:bottom w:val="none" w:sz="0" w:space="0" w:color="auto"/>
        <w:right w:val="none" w:sz="0" w:space="0" w:color="auto"/>
      </w:divBdr>
    </w:div>
    <w:div w:id="741484316">
      <w:bodyDiv w:val="1"/>
      <w:marLeft w:val="0"/>
      <w:marRight w:val="0"/>
      <w:marTop w:val="0"/>
      <w:marBottom w:val="0"/>
      <w:divBdr>
        <w:top w:val="none" w:sz="0" w:space="0" w:color="auto"/>
        <w:left w:val="none" w:sz="0" w:space="0" w:color="auto"/>
        <w:bottom w:val="none" w:sz="0" w:space="0" w:color="auto"/>
        <w:right w:val="none" w:sz="0" w:space="0" w:color="auto"/>
      </w:divBdr>
    </w:div>
    <w:div w:id="745031116">
      <w:bodyDiv w:val="1"/>
      <w:marLeft w:val="0"/>
      <w:marRight w:val="0"/>
      <w:marTop w:val="0"/>
      <w:marBottom w:val="0"/>
      <w:divBdr>
        <w:top w:val="none" w:sz="0" w:space="0" w:color="auto"/>
        <w:left w:val="none" w:sz="0" w:space="0" w:color="auto"/>
        <w:bottom w:val="none" w:sz="0" w:space="0" w:color="auto"/>
        <w:right w:val="none" w:sz="0" w:space="0" w:color="auto"/>
      </w:divBdr>
    </w:div>
    <w:div w:id="745538154">
      <w:bodyDiv w:val="1"/>
      <w:marLeft w:val="0"/>
      <w:marRight w:val="0"/>
      <w:marTop w:val="0"/>
      <w:marBottom w:val="0"/>
      <w:divBdr>
        <w:top w:val="none" w:sz="0" w:space="0" w:color="auto"/>
        <w:left w:val="none" w:sz="0" w:space="0" w:color="auto"/>
        <w:bottom w:val="none" w:sz="0" w:space="0" w:color="auto"/>
        <w:right w:val="none" w:sz="0" w:space="0" w:color="auto"/>
      </w:divBdr>
    </w:div>
    <w:div w:id="752896569">
      <w:bodyDiv w:val="1"/>
      <w:marLeft w:val="0"/>
      <w:marRight w:val="0"/>
      <w:marTop w:val="0"/>
      <w:marBottom w:val="0"/>
      <w:divBdr>
        <w:top w:val="none" w:sz="0" w:space="0" w:color="auto"/>
        <w:left w:val="none" w:sz="0" w:space="0" w:color="auto"/>
        <w:bottom w:val="none" w:sz="0" w:space="0" w:color="auto"/>
        <w:right w:val="none" w:sz="0" w:space="0" w:color="auto"/>
      </w:divBdr>
    </w:div>
    <w:div w:id="761030474">
      <w:bodyDiv w:val="1"/>
      <w:marLeft w:val="0"/>
      <w:marRight w:val="0"/>
      <w:marTop w:val="0"/>
      <w:marBottom w:val="0"/>
      <w:divBdr>
        <w:top w:val="none" w:sz="0" w:space="0" w:color="auto"/>
        <w:left w:val="none" w:sz="0" w:space="0" w:color="auto"/>
        <w:bottom w:val="none" w:sz="0" w:space="0" w:color="auto"/>
        <w:right w:val="none" w:sz="0" w:space="0" w:color="auto"/>
      </w:divBdr>
    </w:div>
    <w:div w:id="767117335">
      <w:bodyDiv w:val="1"/>
      <w:marLeft w:val="0"/>
      <w:marRight w:val="0"/>
      <w:marTop w:val="0"/>
      <w:marBottom w:val="0"/>
      <w:divBdr>
        <w:top w:val="none" w:sz="0" w:space="0" w:color="auto"/>
        <w:left w:val="none" w:sz="0" w:space="0" w:color="auto"/>
        <w:bottom w:val="none" w:sz="0" w:space="0" w:color="auto"/>
        <w:right w:val="none" w:sz="0" w:space="0" w:color="auto"/>
      </w:divBdr>
    </w:div>
    <w:div w:id="772167634">
      <w:bodyDiv w:val="1"/>
      <w:marLeft w:val="0"/>
      <w:marRight w:val="0"/>
      <w:marTop w:val="0"/>
      <w:marBottom w:val="0"/>
      <w:divBdr>
        <w:top w:val="none" w:sz="0" w:space="0" w:color="auto"/>
        <w:left w:val="none" w:sz="0" w:space="0" w:color="auto"/>
        <w:bottom w:val="none" w:sz="0" w:space="0" w:color="auto"/>
        <w:right w:val="none" w:sz="0" w:space="0" w:color="auto"/>
      </w:divBdr>
    </w:div>
    <w:div w:id="778179772">
      <w:bodyDiv w:val="1"/>
      <w:marLeft w:val="0"/>
      <w:marRight w:val="0"/>
      <w:marTop w:val="0"/>
      <w:marBottom w:val="0"/>
      <w:divBdr>
        <w:top w:val="none" w:sz="0" w:space="0" w:color="auto"/>
        <w:left w:val="none" w:sz="0" w:space="0" w:color="auto"/>
        <w:bottom w:val="none" w:sz="0" w:space="0" w:color="auto"/>
        <w:right w:val="none" w:sz="0" w:space="0" w:color="auto"/>
      </w:divBdr>
    </w:div>
    <w:div w:id="785733562">
      <w:bodyDiv w:val="1"/>
      <w:marLeft w:val="0"/>
      <w:marRight w:val="0"/>
      <w:marTop w:val="0"/>
      <w:marBottom w:val="0"/>
      <w:divBdr>
        <w:top w:val="none" w:sz="0" w:space="0" w:color="auto"/>
        <w:left w:val="none" w:sz="0" w:space="0" w:color="auto"/>
        <w:bottom w:val="none" w:sz="0" w:space="0" w:color="auto"/>
        <w:right w:val="none" w:sz="0" w:space="0" w:color="auto"/>
      </w:divBdr>
    </w:div>
    <w:div w:id="791485306">
      <w:bodyDiv w:val="1"/>
      <w:marLeft w:val="0"/>
      <w:marRight w:val="0"/>
      <w:marTop w:val="0"/>
      <w:marBottom w:val="0"/>
      <w:divBdr>
        <w:top w:val="none" w:sz="0" w:space="0" w:color="auto"/>
        <w:left w:val="none" w:sz="0" w:space="0" w:color="auto"/>
        <w:bottom w:val="none" w:sz="0" w:space="0" w:color="auto"/>
        <w:right w:val="none" w:sz="0" w:space="0" w:color="auto"/>
      </w:divBdr>
    </w:div>
    <w:div w:id="793063122">
      <w:bodyDiv w:val="1"/>
      <w:marLeft w:val="0"/>
      <w:marRight w:val="0"/>
      <w:marTop w:val="0"/>
      <w:marBottom w:val="0"/>
      <w:divBdr>
        <w:top w:val="none" w:sz="0" w:space="0" w:color="auto"/>
        <w:left w:val="none" w:sz="0" w:space="0" w:color="auto"/>
        <w:bottom w:val="none" w:sz="0" w:space="0" w:color="auto"/>
        <w:right w:val="none" w:sz="0" w:space="0" w:color="auto"/>
      </w:divBdr>
    </w:div>
    <w:div w:id="796723060">
      <w:bodyDiv w:val="1"/>
      <w:marLeft w:val="0"/>
      <w:marRight w:val="0"/>
      <w:marTop w:val="0"/>
      <w:marBottom w:val="0"/>
      <w:divBdr>
        <w:top w:val="none" w:sz="0" w:space="0" w:color="auto"/>
        <w:left w:val="none" w:sz="0" w:space="0" w:color="auto"/>
        <w:bottom w:val="none" w:sz="0" w:space="0" w:color="auto"/>
        <w:right w:val="none" w:sz="0" w:space="0" w:color="auto"/>
      </w:divBdr>
    </w:div>
    <w:div w:id="798033439">
      <w:bodyDiv w:val="1"/>
      <w:marLeft w:val="0"/>
      <w:marRight w:val="0"/>
      <w:marTop w:val="0"/>
      <w:marBottom w:val="0"/>
      <w:divBdr>
        <w:top w:val="none" w:sz="0" w:space="0" w:color="auto"/>
        <w:left w:val="none" w:sz="0" w:space="0" w:color="auto"/>
        <w:bottom w:val="none" w:sz="0" w:space="0" w:color="auto"/>
        <w:right w:val="none" w:sz="0" w:space="0" w:color="auto"/>
      </w:divBdr>
    </w:div>
    <w:div w:id="809204452">
      <w:bodyDiv w:val="1"/>
      <w:marLeft w:val="0"/>
      <w:marRight w:val="0"/>
      <w:marTop w:val="0"/>
      <w:marBottom w:val="0"/>
      <w:divBdr>
        <w:top w:val="none" w:sz="0" w:space="0" w:color="auto"/>
        <w:left w:val="none" w:sz="0" w:space="0" w:color="auto"/>
        <w:bottom w:val="none" w:sz="0" w:space="0" w:color="auto"/>
        <w:right w:val="none" w:sz="0" w:space="0" w:color="auto"/>
      </w:divBdr>
    </w:div>
    <w:div w:id="809399540">
      <w:bodyDiv w:val="1"/>
      <w:marLeft w:val="0"/>
      <w:marRight w:val="0"/>
      <w:marTop w:val="0"/>
      <w:marBottom w:val="0"/>
      <w:divBdr>
        <w:top w:val="none" w:sz="0" w:space="0" w:color="auto"/>
        <w:left w:val="none" w:sz="0" w:space="0" w:color="auto"/>
        <w:bottom w:val="none" w:sz="0" w:space="0" w:color="auto"/>
        <w:right w:val="none" w:sz="0" w:space="0" w:color="auto"/>
      </w:divBdr>
    </w:div>
    <w:div w:id="810249462">
      <w:bodyDiv w:val="1"/>
      <w:marLeft w:val="0"/>
      <w:marRight w:val="0"/>
      <w:marTop w:val="0"/>
      <w:marBottom w:val="0"/>
      <w:divBdr>
        <w:top w:val="none" w:sz="0" w:space="0" w:color="auto"/>
        <w:left w:val="none" w:sz="0" w:space="0" w:color="auto"/>
        <w:bottom w:val="none" w:sz="0" w:space="0" w:color="auto"/>
        <w:right w:val="none" w:sz="0" w:space="0" w:color="auto"/>
      </w:divBdr>
    </w:div>
    <w:div w:id="812871198">
      <w:bodyDiv w:val="1"/>
      <w:marLeft w:val="0"/>
      <w:marRight w:val="0"/>
      <w:marTop w:val="0"/>
      <w:marBottom w:val="0"/>
      <w:divBdr>
        <w:top w:val="none" w:sz="0" w:space="0" w:color="auto"/>
        <w:left w:val="none" w:sz="0" w:space="0" w:color="auto"/>
        <w:bottom w:val="none" w:sz="0" w:space="0" w:color="auto"/>
        <w:right w:val="none" w:sz="0" w:space="0" w:color="auto"/>
      </w:divBdr>
    </w:div>
    <w:div w:id="814833791">
      <w:bodyDiv w:val="1"/>
      <w:marLeft w:val="0"/>
      <w:marRight w:val="0"/>
      <w:marTop w:val="0"/>
      <w:marBottom w:val="0"/>
      <w:divBdr>
        <w:top w:val="none" w:sz="0" w:space="0" w:color="auto"/>
        <w:left w:val="none" w:sz="0" w:space="0" w:color="auto"/>
        <w:bottom w:val="none" w:sz="0" w:space="0" w:color="auto"/>
        <w:right w:val="none" w:sz="0" w:space="0" w:color="auto"/>
      </w:divBdr>
    </w:div>
    <w:div w:id="815609840">
      <w:bodyDiv w:val="1"/>
      <w:marLeft w:val="0"/>
      <w:marRight w:val="0"/>
      <w:marTop w:val="0"/>
      <w:marBottom w:val="0"/>
      <w:divBdr>
        <w:top w:val="none" w:sz="0" w:space="0" w:color="auto"/>
        <w:left w:val="none" w:sz="0" w:space="0" w:color="auto"/>
        <w:bottom w:val="none" w:sz="0" w:space="0" w:color="auto"/>
        <w:right w:val="none" w:sz="0" w:space="0" w:color="auto"/>
      </w:divBdr>
    </w:div>
    <w:div w:id="823619050">
      <w:bodyDiv w:val="1"/>
      <w:marLeft w:val="0"/>
      <w:marRight w:val="0"/>
      <w:marTop w:val="0"/>
      <w:marBottom w:val="0"/>
      <w:divBdr>
        <w:top w:val="none" w:sz="0" w:space="0" w:color="auto"/>
        <w:left w:val="none" w:sz="0" w:space="0" w:color="auto"/>
        <w:bottom w:val="none" w:sz="0" w:space="0" w:color="auto"/>
        <w:right w:val="none" w:sz="0" w:space="0" w:color="auto"/>
      </w:divBdr>
    </w:div>
    <w:div w:id="847718771">
      <w:bodyDiv w:val="1"/>
      <w:marLeft w:val="0"/>
      <w:marRight w:val="0"/>
      <w:marTop w:val="0"/>
      <w:marBottom w:val="0"/>
      <w:divBdr>
        <w:top w:val="none" w:sz="0" w:space="0" w:color="auto"/>
        <w:left w:val="none" w:sz="0" w:space="0" w:color="auto"/>
        <w:bottom w:val="none" w:sz="0" w:space="0" w:color="auto"/>
        <w:right w:val="none" w:sz="0" w:space="0" w:color="auto"/>
      </w:divBdr>
    </w:div>
    <w:div w:id="850338199">
      <w:bodyDiv w:val="1"/>
      <w:marLeft w:val="0"/>
      <w:marRight w:val="0"/>
      <w:marTop w:val="0"/>
      <w:marBottom w:val="0"/>
      <w:divBdr>
        <w:top w:val="none" w:sz="0" w:space="0" w:color="auto"/>
        <w:left w:val="none" w:sz="0" w:space="0" w:color="auto"/>
        <w:bottom w:val="none" w:sz="0" w:space="0" w:color="auto"/>
        <w:right w:val="none" w:sz="0" w:space="0" w:color="auto"/>
      </w:divBdr>
    </w:div>
    <w:div w:id="850677218">
      <w:bodyDiv w:val="1"/>
      <w:marLeft w:val="0"/>
      <w:marRight w:val="0"/>
      <w:marTop w:val="0"/>
      <w:marBottom w:val="0"/>
      <w:divBdr>
        <w:top w:val="none" w:sz="0" w:space="0" w:color="auto"/>
        <w:left w:val="none" w:sz="0" w:space="0" w:color="auto"/>
        <w:bottom w:val="none" w:sz="0" w:space="0" w:color="auto"/>
        <w:right w:val="none" w:sz="0" w:space="0" w:color="auto"/>
      </w:divBdr>
    </w:div>
    <w:div w:id="852575900">
      <w:bodyDiv w:val="1"/>
      <w:marLeft w:val="0"/>
      <w:marRight w:val="0"/>
      <w:marTop w:val="0"/>
      <w:marBottom w:val="0"/>
      <w:divBdr>
        <w:top w:val="none" w:sz="0" w:space="0" w:color="auto"/>
        <w:left w:val="none" w:sz="0" w:space="0" w:color="auto"/>
        <w:bottom w:val="none" w:sz="0" w:space="0" w:color="auto"/>
        <w:right w:val="none" w:sz="0" w:space="0" w:color="auto"/>
      </w:divBdr>
    </w:div>
    <w:div w:id="853029970">
      <w:bodyDiv w:val="1"/>
      <w:marLeft w:val="0"/>
      <w:marRight w:val="0"/>
      <w:marTop w:val="0"/>
      <w:marBottom w:val="0"/>
      <w:divBdr>
        <w:top w:val="none" w:sz="0" w:space="0" w:color="auto"/>
        <w:left w:val="none" w:sz="0" w:space="0" w:color="auto"/>
        <w:bottom w:val="none" w:sz="0" w:space="0" w:color="auto"/>
        <w:right w:val="none" w:sz="0" w:space="0" w:color="auto"/>
      </w:divBdr>
    </w:div>
    <w:div w:id="871726172">
      <w:bodyDiv w:val="1"/>
      <w:marLeft w:val="0"/>
      <w:marRight w:val="0"/>
      <w:marTop w:val="0"/>
      <w:marBottom w:val="0"/>
      <w:divBdr>
        <w:top w:val="none" w:sz="0" w:space="0" w:color="auto"/>
        <w:left w:val="none" w:sz="0" w:space="0" w:color="auto"/>
        <w:bottom w:val="none" w:sz="0" w:space="0" w:color="auto"/>
        <w:right w:val="none" w:sz="0" w:space="0" w:color="auto"/>
      </w:divBdr>
    </w:div>
    <w:div w:id="875779747">
      <w:bodyDiv w:val="1"/>
      <w:marLeft w:val="0"/>
      <w:marRight w:val="0"/>
      <w:marTop w:val="0"/>
      <w:marBottom w:val="0"/>
      <w:divBdr>
        <w:top w:val="none" w:sz="0" w:space="0" w:color="auto"/>
        <w:left w:val="none" w:sz="0" w:space="0" w:color="auto"/>
        <w:bottom w:val="none" w:sz="0" w:space="0" w:color="auto"/>
        <w:right w:val="none" w:sz="0" w:space="0" w:color="auto"/>
      </w:divBdr>
    </w:div>
    <w:div w:id="886525456">
      <w:bodyDiv w:val="1"/>
      <w:marLeft w:val="0"/>
      <w:marRight w:val="0"/>
      <w:marTop w:val="0"/>
      <w:marBottom w:val="0"/>
      <w:divBdr>
        <w:top w:val="none" w:sz="0" w:space="0" w:color="auto"/>
        <w:left w:val="none" w:sz="0" w:space="0" w:color="auto"/>
        <w:bottom w:val="none" w:sz="0" w:space="0" w:color="auto"/>
        <w:right w:val="none" w:sz="0" w:space="0" w:color="auto"/>
      </w:divBdr>
    </w:div>
    <w:div w:id="888341409">
      <w:bodyDiv w:val="1"/>
      <w:marLeft w:val="0"/>
      <w:marRight w:val="0"/>
      <w:marTop w:val="0"/>
      <w:marBottom w:val="0"/>
      <w:divBdr>
        <w:top w:val="none" w:sz="0" w:space="0" w:color="auto"/>
        <w:left w:val="none" w:sz="0" w:space="0" w:color="auto"/>
        <w:bottom w:val="none" w:sz="0" w:space="0" w:color="auto"/>
        <w:right w:val="none" w:sz="0" w:space="0" w:color="auto"/>
      </w:divBdr>
    </w:div>
    <w:div w:id="892036068">
      <w:bodyDiv w:val="1"/>
      <w:marLeft w:val="0"/>
      <w:marRight w:val="0"/>
      <w:marTop w:val="0"/>
      <w:marBottom w:val="0"/>
      <w:divBdr>
        <w:top w:val="none" w:sz="0" w:space="0" w:color="auto"/>
        <w:left w:val="none" w:sz="0" w:space="0" w:color="auto"/>
        <w:bottom w:val="none" w:sz="0" w:space="0" w:color="auto"/>
        <w:right w:val="none" w:sz="0" w:space="0" w:color="auto"/>
      </w:divBdr>
    </w:div>
    <w:div w:id="897666015">
      <w:bodyDiv w:val="1"/>
      <w:marLeft w:val="0"/>
      <w:marRight w:val="0"/>
      <w:marTop w:val="0"/>
      <w:marBottom w:val="0"/>
      <w:divBdr>
        <w:top w:val="none" w:sz="0" w:space="0" w:color="auto"/>
        <w:left w:val="none" w:sz="0" w:space="0" w:color="auto"/>
        <w:bottom w:val="none" w:sz="0" w:space="0" w:color="auto"/>
        <w:right w:val="none" w:sz="0" w:space="0" w:color="auto"/>
      </w:divBdr>
    </w:div>
    <w:div w:id="898636829">
      <w:bodyDiv w:val="1"/>
      <w:marLeft w:val="0"/>
      <w:marRight w:val="0"/>
      <w:marTop w:val="0"/>
      <w:marBottom w:val="0"/>
      <w:divBdr>
        <w:top w:val="none" w:sz="0" w:space="0" w:color="auto"/>
        <w:left w:val="none" w:sz="0" w:space="0" w:color="auto"/>
        <w:bottom w:val="none" w:sz="0" w:space="0" w:color="auto"/>
        <w:right w:val="none" w:sz="0" w:space="0" w:color="auto"/>
      </w:divBdr>
    </w:div>
    <w:div w:id="899511494">
      <w:bodyDiv w:val="1"/>
      <w:marLeft w:val="0"/>
      <w:marRight w:val="0"/>
      <w:marTop w:val="0"/>
      <w:marBottom w:val="0"/>
      <w:divBdr>
        <w:top w:val="none" w:sz="0" w:space="0" w:color="auto"/>
        <w:left w:val="none" w:sz="0" w:space="0" w:color="auto"/>
        <w:bottom w:val="none" w:sz="0" w:space="0" w:color="auto"/>
        <w:right w:val="none" w:sz="0" w:space="0" w:color="auto"/>
      </w:divBdr>
    </w:div>
    <w:div w:id="905728677">
      <w:bodyDiv w:val="1"/>
      <w:marLeft w:val="0"/>
      <w:marRight w:val="0"/>
      <w:marTop w:val="0"/>
      <w:marBottom w:val="0"/>
      <w:divBdr>
        <w:top w:val="none" w:sz="0" w:space="0" w:color="auto"/>
        <w:left w:val="none" w:sz="0" w:space="0" w:color="auto"/>
        <w:bottom w:val="none" w:sz="0" w:space="0" w:color="auto"/>
        <w:right w:val="none" w:sz="0" w:space="0" w:color="auto"/>
      </w:divBdr>
    </w:div>
    <w:div w:id="907229881">
      <w:bodyDiv w:val="1"/>
      <w:marLeft w:val="0"/>
      <w:marRight w:val="0"/>
      <w:marTop w:val="0"/>
      <w:marBottom w:val="0"/>
      <w:divBdr>
        <w:top w:val="none" w:sz="0" w:space="0" w:color="auto"/>
        <w:left w:val="none" w:sz="0" w:space="0" w:color="auto"/>
        <w:bottom w:val="none" w:sz="0" w:space="0" w:color="auto"/>
        <w:right w:val="none" w:sz="0" w:space="0" w:color="auto"/>
      </w:divBdr>
    </w:div>
    <w:div w:id="908420503">
      <w:bodyDiv w:val="1"/>
      <w:marLeft w:val="0"/>
      <w:marRight w:val="0"/>
      <w:marTop w:val="0"/>
      <w:marBottom w:val="0"/>
      <w:divBdr>
        <w:top w:val="none" w:sz="0" w:space="0" w:color="auto"/>
        <w:left w:val="none" w:sz="0" w:space="0" w:color="auto"/>
        <w:bottom w:val="none" w:sz="0" w:space="0" w:color="auto"/>
        <w:right w:val="none" w:sz="0" w:space="0" w:color="auto"/>
      </w:divBdr>
    </w:div>
    <w:div w:id="921992880">
      <w:bodyDiv w:val="1"/>
      <w:marLeft w:val="0"/>
      <w:marRight w:val="0"/>
      <w:marTop w:val="0"/>
      <w:marBottom w:val="0"/>
      <w:divBdr>
        <w:top w:val="none" w:sz="0" w:space="0" w:color="auto"/>
        <w:left w:val="none" w:sz="0" w:space="0" w:color="auto"/>
        <w:bottom w:val="none" w:sz="0" w:space="0" w:color="auto"/>
        <w:right w:val="none" w:sz="0" w:space="0" w:color="auto"/>
      </w:divBdr>
    </w:div>
    <w:div w:id="925190392">
      <w:bodyDiv w:val="1"/>
      <w:marLeft w:val="0"/>
      <w:marRight w:val="0"/>
      <w:marTop w:val="0"/>
      <w:marBottom w:val="0"/>
      <w:divBdr>
        <w:top w:val="none" w:sz="0" w:space="0" w:color="auto"/>
        <w:left w:val="none" w:sz="0" w:space="0" w:color="auto"/>
        <w:bottom w:val="none" w:sz="0" w:space="0" w:color="auto"/>
        <w:right w:val="none" w:sz="0" w:space="0" w:color="auto"/>
      </w:divBdr>
    </w:div>
    <w:div w:id="940140998">
      <w:bodyDiv w:val="1"/>
      <w:marLeft w:val="0"/>
      <w:marRight w:val="0"/>
      <w:marTop w:val="0"/>
      <w:marBottom w:val="0"/>
      <w:divBdr>
        <w:top w:val="none" w:sz="0" w:space="0" w:color="auto"/>
        <w:left w:val="none" w:sz="0" w:space="0" w:color="auto"/>
        <w:bottom w:val="none" w:sz="0" w:space="0" w:color="auto"/>
        <w:right w:val="none" w:sz="0" w:space="0" w:color="auto"/>
      </w:divBdr>
    </w:div>
    <w:div w:id="969938458">
      <w:bodyDiv w:val="1"/>
      <w:marLeft w:val="0"/>
      <w:marRight w:val="0"/>
      <w:marTop w:val="0"/>
      <w:marBottom w:val="0"/>
      <w:divBdr>
        <w:top w:val="none" w:sz="0" w:space="0" w:color="auto"/>
        <w:left w:val="none" w:sz="0" w:space="0" w:color="auto"/>
        <w:bottom w:val="none" w:sz="0" w:space="0" w:color="auto"/>
        <w:right w:val="none" w:sz="0" w:space="0" w:color="auto"/>
      </w:divBdr>
    </w:div>
    <w:div w:id="974142328">
      <w:bodyDiv w:val="1"/>
      <w:marLeft w:val="0"/>
      <w:marRight w:val="0"/>
      <w:marTop w:val="0"/>
      <w:marBottom w:val="0"/>
      <w:divBdr>
        <w:top w:val="none" w:sz="0" w:space="0" w:color="auto"/>
        <w:left w:val="none" w:sz="0" w:space="0" w:color="auto"/>
        <w:bottom w:val="none" w:sz="0" w:space="0" w:color="auto"/>
        <w:right w:val="none" w:sz="0" w:space="0" w:color="auto"/>
      </w:divBdr>
    </w:div>
    <w:div w:id="977420788">
      <w:bodyDiv w:val="1"/>
      <w:marLeft w:val="0"/>
      <w:marRight w:val="0"/>
      <w:marTop w:val="0"/>
      <w:marBottom w:val="0"/>
      <w:divBdr>
        <w:top w:val="none" w:sz="0" w:space="0" w:color="auto"/>
        <w:left w:val="none" w:sz="0" w:space="0" w:color="auto"/>
        <w:bottom w:val="none" w:sz="0" w:space="0" w:color="auto"/>
        <w:right w:val="none" w:sz="0" w:space="0" w:color="auto"/>
      </w:divBdr>
    </w:div>
    <w:div w:id="977956554">
      <w:bodyDiv w:val="1"/>
      <w:marLeft w:val="0"/>
      <w:marRight w:val="0"/>
      <w:marTop w:val="0"/>
      <w:marBottom w:val="0"/>
      <w:divBdr>
        <w:top w:val="none" w:sz="0" w:space="0" w:color="auto"/>
        <w:left w:val="none" w:sz="0" w:space="0" w:color="auto"/>
        <w:bottom w:val="none" w:sz="0" w:space="0" w:color="auto"/>
        <w:right w:val="none" w:sz="0" w:space="0" w:color="auto"/>
      </w:divBdr>
    </w:div>
    <w:div w:id="981229586">
      <w:bodyDiv w:val="1"/>
      <w:marLeft w:val="0"/>
      <w:marRight w:val="0"/>
      <w:marTop w:val="0"/>
      <w:marBottom w:val="0"/>
      <w:divBdr>
        <w:top w:val="none" w:sz="0" w:space="0" w:color="auto"/>
        <w:left w:val="none" w:sz="0" w:space="0" w:color="auto"/>
        <w:bottom w:val="none" w:sz="0" w:space="0" w:color="auto"/>
        <w:right w:val="none" w:sz="0" w:space="0" w:color="auto"/>
      </w:divBdr>
    </w:div>
    <w:div w:id="985545850">
      <w:bodyDiv w:val="1"/>
      <w:marLeft w:val="0"/>
      <w:marRight w:val="0"/>
      <w:marTop w:val="0"/>
      <w:marBottom w:val="0"/>
      <w:divBdr>
        <w:top w:val="none" w:sz="0" w:space="0" w:color="auto"/>
        <w:left w:val="none" w:sz="0" w:space="0" w:color="auto"/>
        <w:bottom w:val="none" w:sz="0" w:space="0" w:color="auto"/>
        <w:right w:val="none" w:sz="0" w:space="0" w:color="auto"/>
      </w:divBdr>
    </w:div>
    <w:div w:id="993291321">
      <w:bodyDiv w:val="1"/>
      <w:marLeft w:val="0"/>
      <w:marRight w:val="0"/>
      <w:marTop w:val="0"/>
      <w:marBottom w:val="0"/>
      <w:divBdr>
        <w:top w:val="none" w:sz="0" w:space="0" w:color="auto"/>
        <w:left w:val="none" w:sz="0" w:space="0" w:color="auto"/>
        <w:bottom w:val="none" w:sz="0" w:space="0" w:color="auto"/>
        <w:right w:val="none" w:sz="0" w:space="0" w:color="auto"/>
      </w:divBdr>
    </w:div>
    <w:div w:id="998576121">
      <w:bodyDiv w:val="1"/>
      <w:marLeft w:val="0"/>
      <w:marRight w:val="0"/>
      <w:marTop w:val="0"/>
      <w:marBottom w:val="0"/>
      <w:divBdr>
        <w:top w:val="none" w:sz="0" w:space="0" w:color="auto"/>
        <w:left w:val="none" w:sz="0" w:space="0" w:color="auto"/>
        <w:bottom w:val="none" w:sz="0" w:space="0" w:color="auto"/>
        <w:right w:val="none" w:sz="0" w:space="0" w:color="auto"/>
      </w:divBdr>
    </w:div>
    <w:div w:id="1000885767">
      <w:bodyDiv w:val="1"/>
      <w:marLeft w:val="0"/>
      <w:marRight w:val="0"/>
      <w:marTop w:val="0"/>
      <w:marBottom w:val="0"/>
      <w:divBdr>
        <w:top w:val="none" w:sz="0" w:space="0" w:color="auto"/>
        <w:left w:val="none" w:sz="0" w:space="0" w:color="auto"/>
        <w:bottom w:val="none" w:sz="0" w:space="0" w:color="auto"/>
        <w:right w:val="none" w:sz="0" w:space="0" w:color="auto"/>
      </w:divBdr>
    </w:div>
    <w:div w:id="1002391475">
      <w:bodyDiv w:val="1"/>
      <w:marLeft w:val="0"/>
      <w:marRight w:val="0"/>
      <w:marTop w:val="0"/>
      <w:marBottom w:val="0"/>
      <w:divBdr>
        <w:top w:val="none" w:sz="0" w:space="0" w:color="auto"/>
        <w:left w:val="none" w:sz="0" w:space="0" w:color="auto"/>
        <w:bottom w:val="none" w:sz="0" w:space="0" w:color="auto"/>
        <w:right w:val="none" w:sz="0" w:space="0" w:color="auto"/>
      </w:divBdr>
    </w:div>
    <w:div w:id="1009480718">
      <w:bodyDiv w:val="1"/>
      <w:marLeft w:val="0"/>
      <w:marRight w:val="0"/>
      <w:marTop w:val="0"/>
      <w:marBottom w:val="0"/>
      <w:divBdr>
        <w:top w:val="none" w:sz="0" w:space="0" w:color="auto"/>
        <w:left w:val="none" w:sz="0" w:space="0" w:color="auto"/>
        <w:bottom w:val="none" w:sz="0" w:space="0" w:color="auto"/>
        <w:right w:val="none" w:sz="0" w:space="0" w:color="auto"/>
      </w:divBdr>
    </w:div>
    <w:div w:id="1011570144">
      <w:bodyDiv w:val="1"/>
      <w:marLeft w:val="0"/>
      <w:marRight w:val="0"/>
      <w:marTop w:val="0"/>
      <w:marBottom w:val="0"/>
      <w:divBdr>
        <w:top w:val="none" w:sz="0" w:space="0" w:color="auto"/>
        <w:left w:val="none" w:sz="0" w:space="0" w:color="auto"/>
        <w:bottom w:val="none" w:sz="0" w:space="0" w:color="auto"/>
        <w:right w:val="none" w:sz="0" w:space="0" w:color="auto"/>
      </w:divBdr>
    </w:div>
    <w:div w:id="1020282601">
      <w:bodyDiv w:val="1"/>
      <w:marLeft w:val="0"/>
      <w:marRight w:val="0"/>
      <w:marTop w:val="0"/>
      <w:marBottom w:val="0"/>
      <w:divBdr>
        <w:top w:val="none" w:sz="0" w:space="0" w:color="auto"/>
        <w:left w:val="none" w:sz="0" w:space="0" w:color="auto"/>
        <w:bottom w:val="none" w:sz="0" w:space="0" w:color="auto"/>
        <w:right w:val="none" w:sz="0" w:space="0" w:color="auto"/>
      </w:divBdr>
    </w:div>
    <w:div w:id="1028679079">
      <w:bodyDiv w:val="1"/>
      <w:marLeft w:val="0"/>
      <w:marRight w:val="0"/>
      <w:marTop w:val="0"/>
      <w:marBottom w:val="0"/>
      <w:divBdr>
        <w:top w:val="none" w:sz="0" w:space="0" w:color="auto"/>
        <w:left w:val="none" w:sz="0" w:space="0" w:color="auto"/>
        <w:bottom w:val="none" w:sz="0" w:space="0" w:color="auto"/>
        <w:right w:val="none" w:sz="0" w:space="0" w:color="auto"/>
      </w:divBdr>
    </w:div>
    <w:div w:id="1029263269">
      <w:bodyDiv w:val="1"/>
      <w:marLeft w:val="0"/>
      <w:marRight w:val="0"/>
      <w:marTop w:val="0"/>
      <w:marBottom w:val="0"/>
      <w:divBdr>
        <w:top w:val="none" w:sz="0" w:space="0" w:color="auto"/>
        <w:left w:val="none" w:sz="0" w:space="0" w:color="auto"/>
        <w:bottom w:val="none" w:sz="0" w:space="0" w:color="auto"/>
        <w:right w:val="none" w:sz="0" w:space="0" w:color="auto"/>
      </w:divBdr>
    </w:div>
    <w:div w:id="1029917284">
      <w:bodyDiv w:val="1"/>
      <w:marLeft w:val="0"/>
      <w:marRight w:val="0"/>
      <w:marTop w:val="0"/>
      <w:marBottom w:val="0"/>
      <w:divBdr>
        <w:top w:val="none" w:sz="0" w:space="0" w:color="auto"/>
        <w:left w:val="none" w:sz="0" w:space="0" w:color="auto"/>
        <w:bottom w:val="none" w:sz="0" w:space="0" w:color="auto"/>
        <w:right w:val="none" w:sz="0" w:space="0" w:color="auto"/>
      </w:divBdr>
    </w:div>
    <w:div w:id="1033383511">
      <w:bodyDiv w:val="1"/>
      <w:marLeft w:val="0"/>
      <w:marRight w:val="0"/>
      <w:marTop w:val="0"/>
      <w:marBottom w:val="0"/>
      <w:divBdr>
        <w:top w:val="none" w:sz="0" w:space="0" w:color="auto"/>
        <w:left w:val="none" w:sz="0" w:space="0" w:color="auto"/>
        <w:bottom w:val="none" w:sz="0" w:space="0" w:color="auto"/>
        <w:right w:val="none" w:sz="0" w:space="0" w:color="auto"/>
      </w:divBdr>
    </w:div>
    <w:div w:id="1038626373">
      <w:bodyDiv w:val="1"/>
      <w:marLeft w:val="0"/>
      <w:marRight w:val="0"/>
      <w:marTop w:val="0"/>
      <w:marBottom w:val="0"/>
      <w:divBdr>
        <w:top w:val="none" w:sz="0" w:space="0" w:color="auto"/>
        <w:left w:val="none" w:sz="0" w:space="0" w:color="auto"/>
        <w:bottom w:val="none" w:sz="0" w:space="0" w:color="auto"/>
        <w:right w:val="none" w:sz="0" w:space="0" w:color="auto"/>
      </w:divBdr>
    </w:div>
    <w:div w:id="1045638032">
      <w:bodyDiv w:val="1"/>
      <w:marLeft w:val="0"/>
      <w:marRight w:val="0"/>
      <w:marTop w:val="0"/>
      <w:marBottom w:val="0"/>
      <w:divBdr>
        <w:top w:val="none" w:sz="0" w:space="0" w:color="auto"/>
        <w:left w:val="none" w:sz="0" w:space="0" w:color="auto"/>
        <w:bottom w:val="none" w:sz="0" w:space="0" w:color="auto"/>
        <w:right w:val="none" w:sz="0" w:space="0" w:color="auto"/>
      </w:divBdr>
    </w:div>
    <w:div w:id="1049302717">
      <w:bodyDiv w:val="1"/>
      <w:marLeft w:val="0"/>
      <w:marRight w:val="0"/>
      <w:marTop w:val="0"/>
      <w:marBottom w:val="0"/>
      <w:divBdr>
        <w:top w:val="none" w:sz="0" w:space="0" w:color="auto"/>
        <w:left w:val="none" w:sz="0" w:space="0" w:color="auto"/>
        <w:bottom w:val="none" w:sz="0" w:space="0" w:color="auto"/>
        <w:right w:val="none" w:sz="0" w:space="0" w:color="auto"/>
      </w:divBdr>
    </w:div>
    <w:div w:id="1051462515">
      <w:bodyDiv w:val="1"/>
      <w:marLeft w:val="0"/>
      <w:marRight w:val="0"/>
      <w:marTop w:val="0"/>
      <w:marBottom w:val="0"/>
      <w:divBdr>
        <w:top w:val="none" w:sz="0" w:space="0" w:color="auto"/>
        <w:left w:val="none" w:sz="0" w:space="0" w:color="auto"/>
        <w:bottom w:val="none" w:sz="0" w:space="0" w:color="auto"/>
        <w:right w:val="none" w:sz="0" w:space="0" w:color="auto"/>
      </w:divBdr>
    </w:div>
    <w:div w:id="1053850941">
      <w:bodyDiv w:val="1"/>
      <w:marLeft w:val="0"/>
      <w:marRight w:val="0"/>
      <w:marTop w:val="0"/>
      <w:marBottom w:val="0"/>
      <w:divBdr>
        <w:top w:val="none" w:sz="0" w:space="0" w:color="auto"/>
        <w:left w:val="none" w:sz="0" w:space="0" w:color="auto"/>
        <w:bottom w:val="none" w:sz="0" w:space="0" w:color="auto"/>
        <w:right w:val="none" w:sz="0" w:space="0" w:color="auto"/>
      </w:divBdr>
    </w:div>
    <w:div w:id="1061362689">
      <w:bodyDiv w:val="1"/>
      <w:marLeft w:val="0"/>
      <w:marRight w:val="0"/>
      <w:marTop w:val="0"/>
      <w:marBottom w:val="0"/>
      <w:divBdr>
        <w:top w:val="none" w:sz="0" w:space="0" w:color="auto"/>
        <w:left w:val="none" w:sz="0" w:space="0" w:color="auto"/>
        <w:bottom w:val="none" w:sz="0" w:space="0" w:color="auto"/>
        <w:right w:val="none" w:sz="0" w:space="0" w:color="auto"/>
      </w:divBdr>
    </w:div>
    <w:div w:id="1067217458">
      <w:bodyDiv w:val="1"/>
      <w:marLeft w:val="0"/>
      <w:marRight w:val="0"/>
      <w:marTop w:val="0"/>
      <w:marBottom w:val="0"/>
      <w:divBdr>
        <w:top w:val="none" w:sz="0" w:space="0" w:color="auto"/>
        <w:left w:val="none" w:sz="0" w:space="0" w:color="auto"/>
        <w:bottom w:val="none" w:sz="0" w:space="0" w:color="auto"/>
        <w:right w:val="none" w:sz="0" w:space="0" w:color="auto"/>
      </w:divBdr>
    </w:div>
    <w:div w:id="1067611326">
      <w:bodyDiv w:val="1"/>
      <w:marLeft w:val="0"/>
      <w:marRight w:val="0"/>
      <w:marTop w:val="0"/>
      <w:marBottom w:val="0"/>
      <w:divBdr>
        <w:top w:val="none" w:sz="0" w:space="0" w:color="auto"/>
        <w:left w:val="none" w:sz="0" w:space="0" w:color="auto"/>
        <w:bottom w:val="none" w:sz="0" w:space="0" w:color="auto"/>
        <w:right w:val="none" w:sz="0" w:space="0" w:color="auto"/>
      </w:divBdr>
    </w:div>
    <w:div w:id="1071468839">
      <w:bodyDiv w:val="1"/>
      <w:marLeft w:val="0"/>
      <w:marRight w:val="0"/>
      <w:marTop w:val="0"/>
      <w:marBottom w:val="0"/>
      <w:divBdr>
        <w:top w:val="none" w:sz="0" w:space="0" w:color="auto"/>
        <w:left w:val="none" w:sz="0" w:space="0" w:color="auto"/>
        <w:bottom w:val="none" w:sz="0" w:space="0" w:color="auto"/>
        <w:right w:val="none" w:sz="0" w:space="0" w:color="auto"/>
      </w:divBdr>
    </w:div>
    <w:div w:id="1097212795">
      <w:bodyDiv w:val="1"/>
      <w:marLeft w:val="0"/>
      <w:marRight w:val="0"/>
      <w:marTop w:val="0"/>
      <w:marBottom w:val="0"/>
      <w:divBdr>
        <w:top w:val="none" w:sz="0" w:space="0" w:color="auto"/>
        <w:left w:val="none" w:sz="0" w:space="0" w:color="auto"/>
        <w:bottom w:val="none" w:sz="0" w:space="0" w:color="auto"/>
        <w:right w:val="none" w:sz="0" w:space="0" w:color="auto"/>
      </w:divBdr>
    </w:div>
    <w:div w:id="1101485430">
      <w:bodyDiv w:val="1"/>
      <w:marLeft w:val="0"/>
      <w:marRight w:val="0"/>
      <w:marTop w:val="0"/>
      <w:marBottom w:val="0"/>
      <w:divBdr>
        <w:top w:val="none" w:sz="0" w:space="0" w:color="auto"/>
        <w:left w:val="none" w:sz="0" w:space="0" w:color="auto"/>
        <w:bottom w:val="none" w:sz="0" w:space="0" w:color="auto"/>
        <w:right w:val="none" w:sz="0" w:space="0" w:color="auto"/>
      </w:divBdr>
    </w:div>
    <w:div w:id="1104183185">
      <w:bodyDiv w:val="1"/>
      <w:marLeft w:val="0"/>
      <w:marRight w:val="0"/>
      <w:marTop w:val="0"/>
      <w:marBottom w:val="0"/>
      <w:divBdr>
        <w:top w:val="none" w:sz="0" w:space="0" w:color="auto"/>
        <w:left w:val="none" w:sz="0" w:space="0" w:color="auto"/>
        <w:bottom w:val="none" w:sz="0" w:space="0" w:color="auto"/>
        <w:right w:val="none" w:sz="0" w:space="0" w:color="auto"/>
      </w:divBdr>
    </w:div>
    <w:div w:id="1108237717">
      <w:bodyDiv w:val="1"/>
      <w:marLeft w:val="0"/>
      <w:marRight w:val="0"/>
      <w:marTop w:val="0"/>
      <w:marBottom w:val="0"/>
      <w:divBdr>
        <w:top w:val="none" w:sz="0" w:space="0" w:color="auto"/>
        <w:left w:val="none" w:sz="0" w:space="0" w:color="auto"/>
        <w:bottom w:val="none" w:sz="0" w:space="0" w:color="auto"/>
        <w:right w:val="none" w:sz="0" w:space="0" w:color="auto"/>
      </w:divBdr>
    </w:div>
    <w:div w:id="1110584644">
      <w:bodyDiv w:val="1"/>
      <w:marLeft w:val="0"/>
      <w:marRight w:val="0"/>
      <w:marTop w:val="0"/>
      <w:marBottom w:val="0"/>
      <w:divBdr>
        <w:top w:val="none" w:sz="0" w:space="0" w:color="auto"/>
        <w:left w:val="none" w:sz="0" w:space="0" w:color="auto"/>
        <w:bottom w:val="none" w:sz="0" w:space="0" w:color="auto"/>
        <w:right w:val="none" w:sz="0" w:space="0" w:color="auto"/>
      </w:divBdr>
    </w:div>
    <w:div w:id="1123965537">
      <w:bodyDiv w:val="1"/>
      <w:marLeft w:val="0"/>
      <w:marRight w:val="0"/>
      <w:marTop w:val="0"/>
      <w:marBottom w:val="0"/>
      <w:divBdr>
        <w:top w:val="none" w:sz="0" w:space="0" w:color="auto"/>
        <w:left w:val="none" w:sz="0" w:space="0" w:color="auto"/>
        <w:bottom w:val="none" w:sz="0" w:space="0" w:color="auto"/>
        <w:right w:val="none" w:sz="0" w:space="0" w:color="auto"/>
      </w:divBdr>
    </w:div>
    <w:div w:id="1130634468">
      <w:bodyDiv w:val="1"/>
      <w:marLeft w:val="0"/>
      <w:marRight w:val="0"/>
      <w:marTop w:val="0"/>
      <w:marBottom w:val="0"/>
      <w:divBdr>
        <w:top w:val="none" w:sz="0" w:space="0" w:color="auto"/>
        <w:left w:val="none" w:sz="0" w:space="0" w:color="auto"/>
        <w:bottom w:val="none" w:sz="0" w:space="0" w:color="auto"/>
        <w:right w:val="none" w:sz="0" w:space="0" w:color="auto"/>
      </w:divBdr>
    </w:div>
    <w:div w:id="1135178207">
      <w:bodyDiv w:val="1"/>
      <w:marLeft w:val="0"/>
      <w:marRight w:val="0"/>
      <w:marTop w:val="0"/>
      <w:marBottom w:val="0"/>
      <w:divBdr>
        <w:top w:val="none" w:sz="0" w:space="0" w:color="auto"/>
        <w:left w:val="none" w:sz="0" w:space="0" w:color="auto"/>
        <w:bottom w:val="none" w:sz="0" w:space="0" w:color="auto"/>
        <w:right w:val="none" w:sz="0" w:space="0" w:color="auto"/>
      </w:divBdr>
    </w:div>
    <w:div w:id="1138106199">
      <w:bodyDiv w:val="1"/>
      <w:marLeft w:val="0"/>
      <w:marRight w:val="0"/>
      <w:marTop w:val="0"/>
      <w:marBottom w:val="0"/>
      <w:divBdr>
        <w:top w:val="none" w:sz="0" w:space="0" w:color="auto"/>
        <w:left w:val="none" w:sz="0" w:space="0" w:color="auto"/>
        <w:bottom w:val="none" w:sz="0" w:space="0" w:color="auto"/>
        <w:right w:val="none" w:sz="0" w:space="0" w:color="auto"/>
      </w:divBdr>
    </w:div>
    <w:div w:id="1138497441">
      <w:bodyDiv w:val="1"/>
      <w:marLeft w:val="0"/>
      <w:marRight w:val="0"/>
      <w:marTop w:val="0"/>
      <w:marBottom w:val="0"/>
      <w:divBdr>
        <w:top w:val="none" w:sz="0" w:space="0" w:color="auto"/>
        <w:left w:val="none" w:sz="0" w:space="0" w:color="auto"/>
        <w:bottom w:val="none" w:sz="0" w:space="0" w:color="auto"/>
        <w:right w:val="none" w:sz="0" w:space="0" w:color="auto"/>
      </w:divBdr>
    </w:div>
    <w:div w:id="1142305324">
      <w:bodyDiv w:val="1"/>
      <w:marLeft w:val="0"/>
      <w:marRight w:val="0"/>
      <w:marTop w:val="0"/>
      <w:marBottom w:val="0"/>
      <w:divBdr>
        <w:top w:val="none" w:sz="0" w:space="0" w:color="auto"/>
        <w:left w:val="none" w:sz="0" w:space="0" w:color="auto"/>
        <w:bottom w:val="none" w:sz="0" w:space="0" w:color="auto"/>
        <w:right w:val="none" w:sz="0" w:space="0" w:color="auto"/>
      </w:divBdr>
    </w:div>
    <w:div w:id="1148521584">
      <w:bodyDiv w:val="1"/>
      <w:marLeft w:val="0"/>
      <w:marRight w:val="0"/>
      <w:marTop w:val="0"/>
      <w:marBottom w:val="0"/>
      <w:divBdr>
        <w:top w:val="none" w:sz="0" w:space="0" w:color="auto"/>
        <w:left w:val="none" w:sz="0" w:space="0" w:color="auto"/>
        <w:bottom w:val="none" w:sz="0" w:space="0" w:color="auto"/>
        <w:right w:val="none" w:sz="0" w:space="0" w:color="auto"/>
      </w:divBdr>
    </w:div>
    <w:div w:id="1154371887">
      <w:bodyDiv w:val="1"/>
      <w:marLeft w:val="0"/>
      <w:marRight w:val="0"/>
      <w:marTop w:val="0"/>
      <w:marBottom w:val="0"/>
      <w:divBdr>
        <w:top w:val="none" w:sz="0" w:space="0" w:color="auto"/>
        <w:left w:val="none" w:sz="0" w:space="0" w:color="auto"/>
        <w:bottom w:val="none" w:sz="0" w:space="0" w:color="auto"/>
        <w:right w:val="none" w:sz="0" w:space="0" w:color="auto"/>
      </w:divBdr>
    </w:div>
    <w:div w:id="1159730034">
      <w:bodyDiv w:val="1"/>
      <w:marLeft w:val="0"/>
      <w:marRight w:val="0"/>
      <w:marTop w:val="0"/>
      <w:marBottom w:val="0"/>
      <w:divBdr>
        <w:top w:val="none" w:sz="0" w:space="0" w:color="auto"/>
        <w:left w:val="none" w:sz="0" w:space="0" w:color="auto"/>
        <w:bottom w:val="none" w:sz="0" w:space="0" w:color="auto"/>
        <w:right w:val="none" w:sz="0" w:space="0" w:color="auto"/>
      </w:divBdr>
    </w:div>
    <w:div w:id="1164399483">
      <w:bodyDiv w:val="1"/>
      <w:marLeft w:val="0"/>
      <w:marRight w:val="0"/>
      <w:marTop w:val="0"/>
      <w:marBottom w:val="0"/>
      <w:divBdr>
        <w:top w:val="none" w:sz="0" w:space="0" w:color="auto"/>
        <w:left w:val="none" w:sz="0" w:space="0" w:color="auto"/>
        <w:bottom w:val="none" w:sz="0" w:space="0" w:color="auto"/>
        <w:right w:val="none" w:sz="0" w:space="0" w:color="auto"/>
      </w:divBdr>
    </w:div>
    <w:div w:id="1164512167">
      <w:bodyDiv w:val="1"/>
      <w:marLeft w:val="0"/>
      <w:marRight w:val="0"/>
      <w:marTop w:val="0"/>
      <w:marBottom w:val="0"/>
      <w:divBdr>
        <w:top w:val="none" w:sz="0" w:space="0" w:color="auto"/>
        <w:left w:val="none" w:sz="0" w:space="0" w:color="auto"/>
        <w:bottom w:val="none" w:sz="0" w:space="0" w:color="auto"/>
        <w:right w:val="none" w:sz="0" w:space="0" w:color="auto"/>
      </w:divBdr>
    </w:div>
    <w:div w:id="1184058039">
      <w:bodyDiv w:val="1"/>
      <w:marLeft w:val="0"/>
      <w:marRight w:val="0"/>
      <w:marTop w:val="0"/>
      <w:marBottom w:val="0"/>
      <w:divBdr>
        <w:top w:val="none" w:sz="0" w:space="0" w:color="auto"/>
        <w:left w:val="none" w:sz="0" w:space="0" w:color="auto"/>
        <w:bottom w:val="none" w:sz="0" w:space="0" w:color="auto"/>
        <w:right w:val="none" w:sz="0" w:space="0" w:color="auto"/>
      </w:divBdr>
    </w:div>
    <w:div w:id="1188518086">
      <w:bodyDiv w:val="1"/>
      <w:marLeft w:val="0"/>
      <w:marRight w:val="0"/>
      <w:marTop w:val="0"/>
      <w:marBottom w:val="0"/>
      <w:divBdr>
        <w:top w:val="none" w:sz="0" w:space="0" w:color="auto"/>
        <w:left w:val="none" w:sz="0" w:space="0" w:color="auto"/>
        <w:bottom w:val="none" w:sz="0" w:space="0" w:color="auto"/>
        <w:right w:val="none" w:sz="0" w:space="0" w:color="auto"/>
      </w:divBdr>
    </w:div>
    <w:div w:id="1188913076">
      <w:bodyDiv w:val="1"/>
      <w:marLeft w:val="0"/>
      <w:marRight w:val="0"/>
      <w:marTop w:val="0"/>
      <w:marBottom w:val="0"/>
      <w:divBdr>
        <w:top w:val="none" w:sz="0" w:space="0" w:color="auto"/>
        <w:left w:val="none" w:sz="0" w:space="0" w:color="auto"/>
        <w:bottom w:val="none" w:sz="0" w:space="0" w:color="auto"/>
        <w:right w:val="none" w:sz="0" w:space="0" w:color="auto"/>
      </w:divBdr>
    </w:div>
    <w:div w:id="1196696822">
      <w:bodyDiv w:val="1"/>
      <w:marLeft w:val="0"/>
      <w:marRight w:val="0"/>
      <w:marTop w:val="0"/>
      <w:marBottom w:val="0"/>
      <w:divBdr>
        <w:top w:val="none" w:sz="0" w:space="0" w:color="auto"/>
        <w:left w:val="none" w:sz="0" w:space="0" w:color="auto"/>
        <w:bottom w:val="none" w:sz="0" w:space="0" w:color="auto"/>
        <w:right w:val="none" w:sz="0" w:space="0" w:color="auto"/>
      </w:divBdr>
    </w:div>
    <w:div w:id="1202204810">
      <w:bodyDiv w:val="1"/>
      <w:marLeft w:val="0"/>
      <w:marRight w:val="0"/>
      <w:marTop w:val="0"/>
      <w:marBottom w:val="0"/>
      <w:divBdr>
        <w:top w:val="none" w:sz="0" w:space="0" w:color="auto"/>
        <w:left w:val="none" w:sz="0" w:space="0" w:color="auto"/>
        <w:bottom w:val="none" w:sz="0" w:space="0" w:color="auto"/>
        <w:right w:val="none" w:sz="0" w:space="0" w:color="auto"/>
      </w:divBdr>
    </w:div>
    <w:div w:id="1203404661">
      <w:bodyDiv w:val="1"/>
      <w:marLeft w:val="0"/>
      <w:marRight w:val="0"/>
      <w:marTop w:val="0"/>
      <w:marBottom w:val="0"/>
      <w:divBdr>
        <w:top w:val="none" w:sz="0" w:space="0" w:color="auto"/>
        <w:left w:val="none" w:sz="0" w:space="0" w:color="auto"/>
        <w:bottom w:val="none" w:sz="0" w:space="0" w:color="auto"/>
        <w:right w:val="none" w:sz="0" w:space="0" w:color="auto"/>
      </w:divBdr>
    </w:div>
    <w:div w:id="1204562747">
      <w:bodyDiv w:val="1"/>
      <w:marLeft w:val="0"/>
      <w:marRight w:val="0"/>
      <w:marTop w:val="0"/>
      <w:marBottom w:val="0"/>
      <w:divBdr>
        <w:top w:val="none" w:sz="0" w:space="0" w:color="auto"/>
        <w:left w:val="none" w:sz="0" w:space="0" w:color="auto"/>
        <w:bottom w:val="none" w:sz="0" w:space="0" w:color="auto"/>
        <w:right w:val="none" w:sz="0" w:space="0" w:color="auto"/>
      </w:divBdr>
    </w:div>
    <w:div w:id="1207990044">
      <w:bodyDiv w:val="1"/>
      <w:marLeft w:val="0"/>
      <w:marRight w:val="0"/>
      <w:marTop w:val="0"/>
      <w:marBottom w:val="0"/>
      <w:divBdr>
        <w:top w:val="none" w:sz="0" w:space="0" w:color="auto"/>
        <w:left w:val="none" w:sz="0" w:space="0" w:color="auto"/>
        <w:bottom w:val="none" w:sz="0" w:space="0" w:color="auto"/>
        <w:right w:val="none" w:sz="0" w:space="0" w:color="auto"/>
      </w:divBdr>
    </w:div>
    <w:div w:id="1220091851">
      <w:bodyDiv w:val="1"/>
      <w:marLeft w:val="0"/>
      <w:marRight w:val="0"/>
      <w:marTop w:val="0"/>
      <w:marBottom w:val="0"/>
      <w:divBdr>
        <w:top w:val="none" w:sz="0" w:space="0" w:color="auto"/>
        <w:left w:val="none" w:sz="0" w:space="0" w:color="auto"/>
        <w:bottom w:val="none" w:sz="0" w:space="0" w:color="auto"/>
        <w:right w:val="none" w:sz="0" w:space="0" w:color="auto"/>
      </w:divBdr>
    </w:div>
    <w:div w:id="1223951864">
      <w:bodyDiv w:val="1"/>
      <w:marLeft w:val="0"/>
      <w:marRight w:val="0"/>
      <w:marTop w:val="0"/>
      <w:marBottom w:val="0"/>
      <w:divBdr>
        <w:top w:val="none" w:sz="0" w:space="0" w:color="auto"/>
        <w:left w:val="none" w:sz="0" w:space="0" w:color="auto"/>
        <w:bottom w:val="none" w:sz="0" w:space="0" w:color="auto"/>
        <w:right w:val="none" w:sz="0" w:space="0" w:color="auto"/>
      </w:divBdr>
    </w:div>
    <w:div w:id="1229881006">
      <w:bodyDiv w:val="1"/>
      <w:marLeft w:val="0"/>
      <w:marRight w:val="0"/>
      <w:marTop w:val="0"/>
      <w:marBottom w:val="0"/>
      <w:divBdr>
        <w:top w:val="none" w:sz="0" w:space="0" w:color="auto"/>
        <w:left w:val="none" w:sz="0" w:space="0" w:color="auto"/>
        <w:bottom w:val="none" w:sz="0" w:space="0" w:color="auto"/>
        <w:right w:val="none" w:sz="0" w:space="0" w:color="auto"/>
      </w:divBdr>
    </w:div>
    <w:div w:id="1234313747">
      <w:bodyDiv w:val="1"/>
      <w:marLeft w:val="0"/>
      <w:marRight w:val="0"/>
      <w:marTop w:val="0"/>
      <w:marBottom w:val="0"/>
      <w:divBdr>
        <w:top w:val="none" w:sz="0" w:space="0" w:color="auto"/>
        <w:left w:val="none" w:sz="0" w:space="0" w:color="auto"/>
        <w:bottom w:val="none" w:sz="0" w:space="0" w:color="auto"/>
        <w:right w:val="none" w:sz="0" w:space="0" w:color="auto"/>
      </w:divBdr>
    </w:div>
    <w:div w:id="1234968799">
      <w:bodyDiv w:val="1"/>
      <w:marLeft w:val="0"/>
      <w:marRight w:val="0"/>
      <w:marTop w:val="0"/>
      <w:marBottom w:val="0"/>
      <w:divBdr>
        <w:top w:val="none" w:sz="0" w:space="0" w:color="auto"/>
        <w:left w:val="none" w:sz="0" w:space="0" w:color="auto"/>
        <w:bottom w:val="none" w:sz="0" w:space="0" w:color="auto"/>
        <w:right w:val="none" w:sz="0" w:space="0" w:color="auto"/>
      </w:divBdr>
    </w:div>
    <w:div w:id="1240289639">
      <w:bodyDiv w:val="1"/>
      <w:marLeft w:val="0"/>
      <w:marRight w:val="0"/>
      <w:marTop w:val="0"/>
      <w:marBottom w:val="0"/>
      <w:divBdr>
        <w:top w:val="none" w:sz="0" w:space="0" w:color="auto"/>
        <w:left w:val="none" w:sz="0" w:space="0" w:color="auto"/>
        <w:bottom w:val="none" w:sz="0" w:space="0" w:color="auto"/>
        <w:right w:val="none" w:sz="0" w:space="0" w:color="auto"/>
      </w:divBdr>
    </w:div>
    <w:div w:id="1250505760">
      <w:bodyDiv w:val="1"/>
      <w:marLeft w:val="0"/>
      <w:marRight w:val="0"/>
      <w:marTop w:val="0"/>
      <w:marBottom w:val="0"/>
      <w:divBdr>
        <w:top w:val="none" w:sz="0" w:space="0" w:color="auto"/>
        <w:left w:val="none" w:sz="0" w:space="0" w:color="auto"/>
        <w:bottom w:val="none" w:sz="0" w:space="0" w:color="auto"/>
        <w:right w:val="none" w:sz="0" w:space="0" w:color="auto"/>
      </w:divBdr>
    </w:div>
    <w:div w:id="1257132443">
      <w:bodyDiv w:val="1"/>
      <w:marLeft w:val="0"/>
      <w:marRight w:val="0"/>
      <w:marTop w:val="0"/>
      <w:marBottom w:val="0"/>
      <w:divBdr>
        <w:top w:val="none" w:sz="0" w:space="0" w:color="auto"/>
        <w:left w:val="none" w:sz="0" w:space="0" w:color="auto"/>
        <w:bottom w:val="none" w:sz="0" w:space="0" w:color="auto"/>
        <w:right w:val="none" w:sz="0" w:space="0" w:color="auto"/>
      </w:divBdr>
    </w:div>
    <w:div w:id="1263608364">
      <w:bodyDiv w:val="1"/>
      <w:marLeft w:val="0"/>
      <w:marRight w:val="0"/>
      <w:marTop w:val="0"/>
      <w:marBottom w:val="0"/>
      <w:divBdr>
        <w:top w:val="none" w:sz="0" w:space="0" w:color="auto"/>
        <w:left w:val="none" w:sz="0" w:space="0" w:color="auto"/>
        <w:bottom w:val="none" w:sz="0" w:space="0" w:color="auto"/>
        <w:right w:val="none" w:sz="0" w:space="0" w:color="auto"/>
      </w:divBdr>
    </w:div>
    <w:div w:id="1264071019">
      <w:bodyDiv w:val="1"/>
      <w:marLeft w:val="0"/>
      <w:marRight w:val="0"/>
      <w:marTop w:val="0"/>
      <w:marBottom w:val="0"/>
      <w:divBdr>
        <w:top w:val="none" w:sz="0" w:space="0" w:color="auto"/>
        <w:left w:val="none" w:sz="0" w:space="0" w:color="auto"/>
        <w:bottom w:val="none" w:sz="0" w:space="0" w:color="auto"/>
        <w:right w:val="none" w:sz="0" w:space="0" w:color="auto"/>
      </w:divBdr>
    </w:div>
    <w:div w:id="1271934858">
      <w:bodyDiv w:val="1"/>
      <w:marLeft w:val="0"/>
      <w:marRight w:val="0"/>
      <w:marTop w:val="0"/>
      <w:marBottom w:val="0"/>
      <w:divBdr>
        <w:top w:val="none" w:sz="0" w:space="0" w:color="auto"/>
        <w:left w:val="none" w:sz="0" w:space="0" w:color="auto"/>
        <w:bottom w:val="none" w:sz="0" w:space="0" w:color="auto"/>
        <w:right w:val="none" w:sz="0" w:space="0" w:color="auto"/>
      </w:divBdr>
    </w:div>
    <w:div w:id="1272007395">
      <w:bodyDiv w:val="1"/>
      <w:marLeft w:val="0"/>
      <w:marRight w:val="0"/>
      <w:marTop w:val="0"/>
      <w:marBottom w:val="0"/>
      <w:divBdr>
        <w:top w:val="none" w:sz="0" w:space="0" w:color="auto"/>
        <w:left w:val="none" w:sz="0" w:space="0" w:color="auto"/>
        <w:bottom w:val="none" w:sz="0" w:space="0" w:color="auto"/>
        <w:right w:val="none" w:sz="0" w:space="0" w:color="auto"/>
      </w:divBdr>
    </w:div>
    <w:div w:id="1277760797">
      <w:bodyDiv w:val="1"/>
      <w:marLeft w:val="0"/>
      <w:marRight w:val="0"/>
      <w:marTop w:val="0"/>
      <w:marBottom w:val="0"/>
      <w:divBdr>
        <w:top w:val="none" w:sz="0" w:space="0" w:color="auto"/>
        <w:left w:val="none" w:sz="0" w:space="0" w:color="auto"/>
        <w:bottom w:val="none" w:sz="0" w:space="0" w:color="auto"/>
        <w:right w:val="none" w:sz="0" w:space="0" w:color="auto"/>
      </w:divBdr>
    </w:div>
    <w:div w:id="1279416197">
      <w:bodyDiv w:val="1"/>
      <w:marLeft w:val="0"/>
      <w:marRight w:val="0"/>
      <w:marTop w:val="0"/>
      <w:marBottom w:val="0"/>
      <w:divBdr>
        <w:top w:val="none" w:sz="0" w:space="0" w:color="auto"/>
        <w:left w:val="none" w:sz="0" w:space="0" w:color="auto"/>
        <w:bottom w:val="none" w:sz="0" w:space="0" w:color="auto"/>
        <w:right w:val="none" w:sz="0" w:space="0" w:color="auto"/>
      </w:divBdr>
    </w:div>
    <w:div w:id="1280646673">
      <w:bodyDiv w:val="1"/>
      <w:marLeft w:val="0"/>
      <w:marRight w:val="0"/>
      <w:marTop w:val="0"/>
      <w:marBottom w:val="0"/>
      <w:divBdr>
        <w:top w:val="none" w:sz="0" w:space="0" w:color="auto"/>
        <w:left w:val="none" w:sz="0" w:space="0" w:color="auto"/>
        <w:bottom w:val="none" w:sz="0" w:space="0" w:color="auto"/>
        <w:right w:val="none" w:sz="0" w:space="0" w:color="auto"/>
      </w:divBdr>
    </w:div>
    <w:div w:id="1284116668">
      <w:bodyDiv w:val="1"/>
      <w:marLeft w:val="0"/>
      <w:marRight w:val="0"/>
      <w:marTop w:val="0"/>
      <w:marBottom w:val="0"/>
      <w:divBdr>
        <w:top w:val="none" w:sz="0" w:space="0" w:color="auto"/>
        <w:left w:val="none" w:sz="0" w:space="0" w:color="auto"/>
        <w:bottom w:val="none" w:sz="0" w:space="0" w:color="auto"/>
        <w:right w:val="none" w:sz="0" w:space="0" w:color="auto"/>
      </w:divBdr>
    </w:div>
    <w:div w:id="1298494331">
      <w:bodyDiv w:val="1"/>
      <w:marLeft w:val="0"/>
      <w:marRight w:val="0"/>
      <w:marTop w:val="0"/>
      <w:marBottom w:val="0"/>
      <w:divBdr>
        <w:top w:val="none" w:sz="0" w:space="0" w:color="auto"/>
        <w:left w:val="none" w:sz="0" w:space="0" w:color="auto"/>
        <w:bottom w:val="none" w:sz="0" w:space="0" w:color="auto"/>
        <w:right w:val="none" w:sz="0" w:space="0" w:color="auto"/>
      </w:divBdr>
    </w:div>
    <w:div w:id="1311980507">
      <w:bodyDiv w:val="1"/>
      <w:marLeft w:val="0"/>
      <w:marRight w:val="0"/>
      <w:marTop w:val="0"/>
      <w:marBottom w:val="0"/>
      <w:divBdr>
        <w:top w:val="none" w:sz="0" w:space="0" w:color="auto"/>
        <w:left w:val="none" w:sz="0" w:space="0" w:color="auto"/>
        <w:bottom w:val="none" w:sz="0" w:space="0" w:color="auto"/>
        <w:right w:val="none" w:sz="0" w:space="0" w:color="auto"/>
      </w:divBdr>
    </w:div>
    <w:div w:id="1318220006">
      <w:bodyDiv w:val="1"/>
      <w:marLeft w:val="0"/>
      <w:marRight w:val="0"/>
      <w:marTop w:val="0"/>
      <w:marBottom w:val="0"/>
      <w:divBdr>
        <w:top w:val="none" w:sz="0" w:space="0" w:color="auto"/>
        <w:left w:val="none" w:sz="0" w:space="0" w:color="auto"/>
        <w:bottom w:val="none" w:sz="0" w:space="0" w:color="auto"/>
        <w:right w:val="none" w:sz="0" w:space="0" w:color="auto"/>
      </w:divBdr>
    </w:div>
    <w:div w:id="1325473191">
      <w:bodyDiv w:val="1"/>
      <w:marLeft w:val="0"/>
      <w:marRight w:val="0"/>
      <w:marTop w:val="0"/>
      <w:marBottom w:val="0"/>
      <w:divBdr>
        <w:top w:val="none" w:sz="0" w:space="0" w:color="auto"/>
        <w:left w:val="none" w:sz="0" w:space="0" w:color="auto"/>
        <w:bottom w:val="none" w:sz="0" w:space="0" w:color="auto"/>
        <w:right w:val="none" w:sz="0" w:space="0" w:color="auto"/>
      </w:divBdr>
    </w:div>
    <w:div w:id="1332566581">
      <w:bodyDiv w:val="1"/>
      <w:marLeft w:val="0"/>
      <w:marRight w:val="0"/>
      <w:marTop w:val="0"/>
      <w:marBottom w:val="0"/>
      <w:divBdr>
        <w:top w:val="none" w:sz="0" w:space="0" w:color="auto"/>
        <w:left w:val="none" w:sz="0" w:space="0" w:color="auto"/>
        <w:bottom w:val="none" w:sz="0" w:space="0" w:color="auto"/>
        <w:right w:val="none" w:sz="0" w:space="0" w:color="auto"/>
      </w:divBdr>
    </w:div>
    <w:div w:id="1334409899">
      <w:bodyDiv w:val="1"/>
      <w:marLeft w:val="0"/>
      <w:marRight w:val="0"/>
      <w:marTop w:val="0"/>
      <w:marBottom w:val="0"/>
      <w:divBdr>
        <w:top w:val="none" w:sz="0" w:space="0" w:color="auto"/>
        <w:left w:val="none" w:sz="0" w:space="0" w:color="auto"/>
        <w:bottom w:val="none" w:sz="0" w:space="0" w:color="auto"/>
        <w:right w:val="none" w:sz="0" w:space="0" w:color="auto"/>
      </w:divBdr>
    </w:div>
    <w:div w:id="1337417871">
      <w:bodyDiv w:val="1"/>
      <w:marLeft w:val="0"/>
      <w:marRight w:val="0"/>
      <w:marTop w:val="0"/>
      <w:marBottom w:val="0"/>
      <w:divBdr>
        <w:top w:val="none" w:sz="0" w:space="0" w:color="auto"/>
        <w:left w:val="none" w:sz="0" w:space="0" w:color="auto"/>
        <w:bottom w:val="none" w:sz="0" w:space="0" w:color="auto"/>
        <w:right w:val="none" w:sz="0" w:space="0" w:color="auto"/>
      </w:divBdr>
    </w:div>
    <w:div w:id="1338726228">
      <w:bodyDiv w:val="1"/>
      <w:marLeft w:val="0"/>
      <w:marRight w:val="0"/>
      <w:marTop w:val="0"/>
      <w:marBottom w:val="0"/>
      <w:divBdr>
        <w:top w:val="none" w:sz="0" w:space="0" w:color="auto"/>
        <w:left w:val="none" w:sz="0" w:space="0" w:color="auto"/>
        <w:bottom w:val="none" w:sz="0" w:space="0" w:color="auto"/>
        <w:right w:val="none" w:sz="0" w:space="0" w:color="auto"/>
      </w:divBdr>
    </w:div>
    <w:div w:id="1347902892">
      <w:bodyDiv w:val="1"/>
      <w:marLeft w:val="0"/>
      <w:marRight w:val="0"/>
      <w:marTop w:val="0"/>
      <w:marBottom w:val="0"/>
      <w:divBdr>
        <w:top w:val="none" w:sz="0" w:space="0" w:color="auto"/>
        <w:left w:val="none" w:sz="0" w:space="0" w:color="auto"/>
        <w:bottom w:val="none" w:sz="0" w:space="0" w:color="auto"/>
        <w:right w:val="none" w:sz="0" w:space="0" w:color="auto"/>
      </w:divBdr>
    </w:div>
    <w:div w:id="1348408584">
      <w:bodyDiv w:val="1"/>
      <w:marLeft w:val="0"/>
      <w:marRight w:val="0"/>
      <w:marTop w:val="0"/>
      <w:marBottom w:val="0"/>
      <w:divBdr>
        <w:top w:val="none" w:sz="0" w:space="0" w:color="auto"/>
        <w:left w:val="none" w:sz="0" w:space="0" w:color="auto"/>
        <w:bottom w:val="none" w:sz="0" w:space="0" w:color="auto"/>
        <w:right w:val="none" w:sz="0" w:space="0" w:color="auto"/>
      </w:divBdr>
    </w:div>
    <w:div w:id="1360156548">
      <w:bodyDiv w:val="1"/>
      <w:marLeft w:val="0"/>
      <w:marRight w:val="0"/>
      <w:marTop w:val="0"/>
      <w:marBottom w:val="0"/>
      <w:divBdr>
        <w:top w:val="none" w:sz="0" w:space="0" w:color="auto"/>
        <w:left w:val="none" w:sz="0" w:space="0" w:color="auto"/>
        <w:bottom w:val="none" w:sz="0" w:space="0" w:color="auto"/>
        <w:right w:val="none" w:sz="0" w:space="0" w:color="auto"/>
      </w:divBdr>
    </w:div>
    <w:div w:id="1361972713">
      <w:bodyDiv w:val="1"/>
      <w:marLeft w:val="0"/>
      <w:marRight w:val="0"/>
      <w:marTop w:val="0"/>
      <w:marBottom w:val="0"/>
      <w:divBdr>
        <w:top w:val="none" w:sz="0" w:space="0" w:color="auto"/>
        <w:left w:val="none" w:sz="0" w:space="0" w:color="auto"/>
        <w:bottom w:val="none" w:sz="0" w:space="0" w:color="auto"/>
        <w:right w:val="none" w:sz="0" w:space="0" w:color="auto"/>
      </w:divBdr>
    </w:div>
    <w:div w:id="1362320226">
      <w:bodyDiv w:val="1"/>
      <w:marLeft w:val="0"/>
      <w:marRight w:val="0"/>
      <w:marTop w:val="0"/>
      <w:marBottom w:val="0"/>
      <w:divBdr>
        <w:top w:val="none" w:sz="0" w:space="0" w:color="auto"/>
        <w:left w:val="none" w:sz="0" w:space="0" w:color="auto"/>
        <w:bottom w:val="none" w:sz="0" w:space="0" w:color="auto"/>
        <w:right w:val="none" w:sz="0" w:space="0" w:color="auto"/>
      </w:divBdr>
    </w:div>
    <w:div w:id="1364935837">
      <w:bodyDiv w:val="1"/>
      <w:marLeft w:val="0"/>
      <w:marRight w:val="0"/>
      <w:marTop w:val="0"/>
      <w:marBottom w:val="0"/>
      <w:divBdr>
        <w:top w:val="none" w:sz="0" w:space="0" w:color="auto"/>
        <w:left w:val="none" w:sz="0" w:space="0" w:color="auto"/>
        <w:bottom w:val="none" w:sz="0" w:space="0" w:color="auto"/>
        <w:right w:val="none" w:sz="0" w:space="0" w:color="auto"/>
      </w:divBdr>
    </w:div>
    <w:div w:id="1383405578">
      <w:bodyDiv w:val="1"/>
      <w:marLeft w:val="0"/>
      <w:marRight w:val="0"/>
      <w:marTop w:val="0"/>
      <w:marBottom w:val="0"/>
      <w:divBdr>
        <w:top w:val="none" w:sz="0" w:space="0" w:color="auto"/>
        <w:left w:val="none" w:sz="0" w:space="0" w:color="auto"/>
        <w:bottom w:val="none" w:sz="0" w:space="0" w:color="auto"/>
        <w:right w:val="none" w:sz="0" w:space="0" w:color="auto"/>
      </w:divBdr>
    </w:div>
    <w:div w:id="1391735557">
      <w:bodyDiv w:val="1"/>
      <w:marLeft w:val="0"/>
      <w:marRight w:val="0"/>
      <w:marTop w:val="0"/>
      <w:marBottom w:val="0"/>
      <w:divBdr>
        <w:top w:val="none" w:sz="0" w:space="0" w:color="auto"/>
        <w:left w:val="none" w:sz="0" w:space="0" w:color="auto"/>
        <w:bottom w:val="none" w:sz="0" w:space="0" w:color="auto"/>
        <w:right w:val="none" w:sz="0" w:space="0" w:color="auto"/>
      </w:divBdr>
    </w:div>
    <w:div w:id="1405491114">
      <w:bodyDiv w:val="1"/>
      <w:marLeft w:val="0"/>
      <w:marRight w:val="0"/>
      <w:marTop w:val="0"/>
      <w:marBottom w:val="0"/>
      <w:divBdr>
        <w:top w:val="none" w:sz="0" w:space="0" w:color="auto"/>
        <w:left w:val="none" w:sz="0" w:space="0" w:color="auto"/>
        <w:bottom w:val="none" w:sz="0" w:space="0" w:color="auto"/>
        <w:right w:val="none" w:sz="0" w:space="0" w:color="auto"/>
      </w:divBdr>
    </w:div>
    <w:div w:id="1411191396">
      <w:bodyDiv w:val="1"/>
      <w:marLeft w:val="0"/>
      <w:marRight w:val="0"/>
      <w:marTop w:val="0"/>
      <w:marBottom w:val="0"/>
      <w:divBdr>
        <w:top w:val="none" w:sz="0" w:space="0" w:color="auto"/>
        <w:left w:val="none" w:sz="0" w:space="0" w:color="auto"/>
        <w:bottom w:val="none" w:sz="0" w:space="0" w:color="auto"/>
        <w:right w:val="none" w:sz="0" w:space="0" w:color="auto"/>
      </w:divBdr>
    </w:div>
    <w:div w:id="1412895483">
      <w:bodyDiv w:val="1"/>
      <w:marLeft w:val="0"/>
      <w:marRight w:val="0"/>
      <w:marTop w:val="0"/>
      <w:marBottom w:val="0"/>
      <w:divBdr>
        <w:top w:val="none" w:sz="0" w:space="0" w:color="auto"/>
        <w:left w:val="none" w:sz="0" w:space="0" w:color="auto"/>
        <w:bottom w:val="none" w:sz="0" w:space="0" w:color="auto"/>
        <w:right w:val="none" w:sz="0" w:space="0" w:color="auto"/>
      </w:divBdr>
    </w:div>
    <w:div w:id="1414811553">
      <w:bodyDiv w:val="1"/>
      <w:marLeft w:val="0"/>
      <w:marRight w:val="0"/>
      <w:marTop w:val="0"/>
      <w:marBottom w:val="0"/>
      <w:divBdr>
        <w:top w:val="none" w:sz="0" w:space="0" w:color="auto"/>
        <w:left w:val="none" w:sz="0" w:space="0" w:color="auto"/>
        <w:bottom w:val="none" w:sz="0" w:space="0" w:color="auto"/>
        <w:right w:val="none" w:sz="0" w:space="0" w:color="auto"/>
      </w:divBdr>
    </w:div>
    <w:div w:id="1415122804">
      <w:bodyDiv w:val="1"/>
      <w:marLeft w:val="0"/>
      <w:marRight w:val="0"/>
      <w:marTop w:val="0"/>
      <w:marBottom w:val="0"/>
      <w:divBdr>
        <w:top w:val="none" w:sz="0" w:space="0" w:color="auto"/>
        <w:left w:val="none" w:sz="0" w:space="0" w:color="auto"/>
        <w:bottom w:val="none" w:sz="0" w:space="0" w:color="auto"/>
        <w:right w:val="none" w:sz="0" w:space="0" w:color="auto"/>
      </w:divBdr>
    </w:div>
    <w:div w:id="1426151144">
      <w:bodyDiv w:val="1"/>
      <w:marLeft w:val="0"/>
      <w:marRight w:val="0"/>
      <w:marTop w:val="0"/>
      <w:marBottom w:val="0"/>
      <w:divBdr>
        <w:top w:val="none" w:sz="0" w:space="0" w:color="auto"/>
        <w:left w:val="none" w:sz="0" w:space="0" w:color="auto"/>
        <w:bottom w:val="none" w:sz="0" w:space="0" w:color="auto"/>
        <w:right w:val="none" w:sz="0" w:space="0" w:color="auto"/>
      </w:divBdr>
    </w:div>
    <w:div w:id="1436630571">
      <w:bodyDiv w:val="1"/>
      <w:marLeft w:val="0"/>
      <w:marRight w:val="0"/>
      <w:marTop w:val="0"/>
      <w:marBottom w:val="0"/>
      <w:divBdr>
        <w:top w:val="none" w:sz="0" w:space="0" w:color="auto"/>
        <w:left w:val="none" w:sz="0" w:space="0" w:color="auto"/>
        <w:bottom w:val="none" w:sz="0" w:space="0" w:color="auto"/>
        <w:right w:val="none" w:sz="0" w:space="0" w:color="auto"/>
      </w:divBdr>
    </w:div>
    <w:div w:id="1439987626">
      <w:bodyDiv w:val="1"/>
      <w:marLeft w:val="0"/>
      <w:marRight w:val="0"/>
      <w:marTop w:val="0"/>
      <w:marBottom w:val="0"/>
      <w:divBdr>
        <w:top w:val="none" w:sz="0" w:space="0" w:color="auto"/>
        <w:left w:val="none" w:sz="0" w:space="0" w:color="auto"/>
        <w:bottom w:val="none" w:sz="0" w:space="0" w:color="auto"/>
        <w:right w:val="none" w:sz="0" w:space="0" w:color="auto"/>
      </w:divBdr>
    </w:div>
    <w:div w:id="1443912999">
      <w:bodyDiv w:val="1"/>
      <w:marLeft w:val="0"/>
      <w:marRight w:val="0"/>
      <w:marTop w:val="0"/>
      <w:marBottom w:val="0"/>
      <w:divBdr>
        <w:top w:val="none" w:sz="0" w:space="0" w:color="auto"/>
        <w:left w:val="none" w:sz="0" w:space="0" w:color="auto"/>
        <w:bottom w:val="none" w:sz="0" w:space="0" w:color="auto"/>
        <w:right w:val="none" w:sz="0" w:space="0" w:color="auto"/>
      </w:divBdr>
    </w:div>
    <w:div w:id="1456681769">
      <w:bodyDiv w:val="1"/>
      <w:marLeft w:val="0"/>
      <w:marRight w:val="0"/>
      <w:marTop w:val="0"/>
      <w:marBottom w:val="0"/>
      <w:divBdr>
        <w:top w:val="none" w:sz="0" w:space="0" w:color="auto"/>
        <w:left w:val="none" w:sz="0" w:space="0" w:color="auto"/>
        <w:bottom w:val="none" w:sz="0" w:space="0" w:color="auto"/>
        <w:right w:val="none" w:sz="0" w:space="0" w:color="auto"/>
      </w:divBdr>
    </w:div>
    <w:div w:id="1469128078">
      <w:bodyDiv w:val="1"/>
      <w:marLeft w:val="0"/>
      <w:marRight w:val="0"/>
      <w:marTop w:val="0"/>
      <w:marBottom w:val="0"/>
      <w:divBdr>
        <w:top w:val="none" w:sz="0" w:space="0" w:color="auto"/>
        <w:left w:val="none" w:sz="0" w:space="0" w:color="auto"/>
        <w:bottom w:val="none" w:sz="0" w:space="0" w:color="auto"/>
        <w:right w:val="none" w:sz="0" w:space="0" w:color="auto"/>
      </w:divBdr>
    </w:div>
    <w:div w:id="1469937437">
      <w:bodyDiv w:val="1"/>
      <w:marLeft w:val="0"/>
      <w:marRight w:val="0"/>
      <w:marTop w:val="0"/>
      <w:marBottom w:val="0"/>
      <w:divBdr>
        <w:top w:val="none" w:sz="0" w:space="0" w:color="auto"/>
        <w:left w:val="none" w:sz="0" w:space="0" w:color="auto"/>
        <w:bottom w:val="none" w:sz="0" w:space="0" w:color="auto"/>
        <w:right w:val="none" w:sz="0" w:space="0" w:color="auto"/>
      </w:divBdr>
    </w:div>
    <w:div w:id="1471438198">
      <w:bodyDiv w:val="1"/>
      <w:marLeft w:val="0"/>
      <w:marRight w:val="0"/>
      <w:marTop w:val="0"/>
      <w:marBottom w:val="0"/>
      <w:divBdr>
        <w:top w:val="none" w:sz="0" w:space="0" w:color="auto"/>
        <w:left w:val="none" w:sz="0" w:space="0" w:color="auto"/>
        <w:bottom w:val="none" w:sz="0" w:space="0" w:color="auto"/>
        <w:right w:val="none" w:sz="0" w:space="0" w:color="auto"/>
      </w:divBdr>
    </w:div>
    <w:div w:id="1472750553">
      <w:bodyDiv w:val="1"/>
      <w:marLeft w:val="0"/>
      <w:marRight w:val="0"/>
      <w:marTop w:val="0"/>
      <w:marBottom w:val="0"/>
      <w:divBdr>
        <w:top w:val="none" w:sz="0" w:space="0" w:color="auto"/>
        <w:left w:val="none" w:sz="0" w:space="0" w:color="auto"/>
        <w:bottom w:val="none" w:sz="0" w:space="0" w:color="auto"/>
        <w:right w:val="none" w:sz="0" w:space="0" w:color="auto"/>
      </w:divBdr>
    </w:div>
    <w:div w:id="1477986155">
      <w:bodyDiv w:val="1"/>
      <w:marLeft w:val="0"/>
      <w:marRight w:val="0"/>
      <w:marTop w:val="0"/>
      <w:marBottom w:val="0"/>
      <w:divBdr>
        <w:top w:val="none" w:sz="0" w:space="0" w:color="auto"/>
        <w:left w:val="none" w:sz="0" w:space="0" w:color="auto"/>
        <w:bottom w:val="none" w:sz="0" w:space="0" w:color="auto"/>
        <w:right w:val="none" w:sz="0" w:space="0" w:color="auto"/>
      </w:divBdr>
    </w:div>
    <w:div w:id="1482886904">
      <w:bodyDiv w:val="1"/>
      <w:marLeft w:val="0"/>
      <w:marRight w:val="0"/>
      <w:marTop w:val="0"/>
      <w:marBottom w:val="0"/>
      <w:divBdr>
        <w:top w:val="none" w:sz="0" w:space="0" w:color="auto"/>
        <w:left w:val="none" w:sz="0" w:space="0" w:color="auto"/>
        <w:bottom w:val="none" w:sz="0" w:space="0" w:color="auto"/>
        <w:right w:val="none" w:sz="0" w:space="0" w:color="auto"/>
      </w:divBdr>
    </w:div>
    <w:div w:id="1487087752">
      <w:bodyDiv w:val="1"/>
      <w:marLeft w:val="0"/>
      <w:marRight w:val="0"/>
      <w:marTop w:val="0"/>
      <w:marBottom w:val="0"/>
      <w:divBdr>
        <w:top w:val="none" w:sz="0" w:space="0" w:color="auto"/>
        <w:left w:val="none" w:sz="0" w:space="0" w:color="auto"/>
        <w:bottom w:val="none" w:sz="0" w:space="0" w:color="auto"/>
        <w:right w:val="none" w:sz="0" w:space="0" w:color="auto"/>
      </w:divBdr>
    </w:div>
    <w:div w:id="1489790178">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5340822">
      <w:bodyDiv w:val="1"/>
      <w:marLeft w:val="0"/>
      <w:marRight w:val="0"/>
      <w:marTop w:val="0"/>
      <w:marBottom w:val="0"/>
      <w:divBdr>
        <w:top w:val="none" w:sz="0" w:space="0" w:color="auto"/>
        <w:left w:val="none" w:sz="0" w:space="0" w:color="auto"/>
        <w:bottom w:val="none" w:sz="0" w:space="0" w:color="auto"/>
        <w:right w:val="none" w:sz="0" w:space="0" w:color="auto"/>
      </w:divBdr>
    </w:div>
    <w:div w:id="1500778211">
      <w:bodyDiv w:val="1"/>
      <w:marLeft w:val="0"/>
      <w:marRight w:val="0"/>
      <w:marTop w:val="0"/>
      <w:marBottom w:val="0"/>
      <w:divBdr>
        <w:top w:val="none" w:sz="0" w:space="0" w:color="auto"/>
        <w:left w:val="none" w:sz="0" w:space="0" w:color="auto"/>
        <w:bottom w:val="none" w:sz="0" w:space="0" w:color="auto"/>
        <w:right w:val="none" w:sz="0" w:space="0" w:color="auto"/>
      </w:divBdr>
    </w:div>
    <w:div w:id="1501777998">
      <w:bodyDiv w:val="1"/>
      <w:marLeft w:val="0"/>
      <w:marRight w:val="0"/>
      <w:marTop w:val="0"/>
      <w:marBottom w:val="0"/>
      <w:divBdr>
        <w:top w:val="none" w:sz="0" w:space="0" w:color="auto"/>
        <w:left w:val="none" w:sz="0" w:space="0" w:color="auto"/>
        <w:bottom w:val="none" w:sz="0" w:space="0" w:color="auto"/>
        <w:right w:val="none" w:sz="0" w:space="0" w:color="auto"/>
      </w:divBdr>
    </w:div>
    <w:div w:id="1507860017">
      <w:bodyDiv w:val="1"/>
      <w:marLeft w:val="0"/>
      <w:marRight w:val="0"/>
      <w:marTop w:val="0"/>
      <w:marBottom w:val="0"/>
      <w:divBdr>
        <w:top w:val="none" w:sz="0" w:space="0" w:color="auto"/>
        <w:left w:val="none" w:sz="0" w:space="0" w:color="auto"/>
        <w:bottom w:val="none" w:sz="0" w:space="0" w:color="auto"/>
        <w:right w:val="none" w:sz="0" w:space="0" w:color="auto"/>
      </w:divBdr>
    </w:div>
    <w:div w:id="1509560677">
      <w:bodyDiv w:val="1"/>
      <w:marLeft w:val="0"/>
      <w:marRight w:val="0"/>
      <w:marTop w:val="0"/>
      <w:marBottom w:val="0"/>
      <w:divBdr>
        <w:top w:val="none" w:sz="0" w:space="0" w:color="auto"/>
        <w:left w:val="none" w:sz="0" w:space="0" w:color="auto"/>
        <w:bottom w:val="none" w:sz="0" w:space="0" w:color="auto"/>
        <w:right w:val="none" w:sz="0" w:space="0" w:color="auto"/>
      </w:divBdr>
    </w:div>
    <w:div w:id="1510369485">
      <w:bodyDiv w:val="1"/>
      <w:marLeft w:val="0"/>
      <w:marRight w:val="0"/>
      <w:marTop w:val="0"/>
      <w:marBottom w:val="0"/>
      <w:divBdr>
        <w:top w:val="none" w:sz="0" w:space="0" w:color="auto"/>
        <w:left w:val="none" w:sz="0" w:space="0" w:color="auto"/>
        <w:bottom w:val="none" w:sz="0" w:space="0" w:color="auto"/>
        <w:right w:val="none" w:sz="0" w:space="0" w:color="auto"/>
      </w:divBdr>
    </w:div>
    <w:div w:id="1511870610">
      <w:bodyDiv w:val="1"/>
      <w:marLeft w:val="0"/>
      <w:marRight w:val="0"/>
      <w:marTop w:val="0"/>
      <w:marBottom w:val="0"/>
      <w:divBdr>
        <w:top w:val="none" w:sz="0" w:space="0" w:color="auto"/>
        <w:left w:val="none" w:sz="0" w:space="0" w:color="auto"/>
        <w:bottom w:val="none" w:sz="0" w:space="0" w:color="auto"/>
        <w:right w:val="none" w:sz="0" w:space="0" w:color="auto"/>
      </w:divBdr>
    </w:div>
    <w:div w:id="1535381674">
      <w:bodyDiv w:val="1"/>
      <w:marLeft w:val="0"/>
      <w:marRight w:val="0"/>
      <w:marTop w:val="0"/>
      <w:marBottom w:val="0"/>
      <w:divBdr>
        <w:top w:val="none" w:sz="0" w:space="0" w:color="auto"/>
        <w:left w:val="none" w:sz="0" w:space="0" w:color="auto"/>
        <w:bottom w:val="none" w:sz="0" w:space="0" w:color="auto"/>
        <w:right w:val="none" w:sz="0" w:space="0" w:color="auto"/>
      </w:divBdr>
    </w:div>
    <w:div w:id="1541627212">
      <w:bodyDiv w:val="1"/>
      <w:marLeft w:val="0"/>
      <w:marRight w:val="0"/>
      <w:marTop w:val="0"/>
      <w:marBottom w:val="0"/>
      <w:divBdr>
        <w:top w:val="none" w:sz="0" w:space="0" w:color="auto"/>
        <w:left w:val="none" w:sz="0" w:space="0" w:color="auto"/>
        <w:bottom w:val="none" w:sz="0" w:space="0" w:color="auto"/>
        <w:right w:val="none" w:sz="0" w:space="0" w:color="auto"/>
      </w:divBdr>
    </w:div>
    <w:div w:id="1543977050">
      <w:bodyDiv w:val="1"/>
      <w:marLeft w:val="0"/>
      <w:marRight w:val="0"/>
      <w:marTop w:val="0"/>
      <w:marBottom w:val="0"/>
      <w:divBdr>
        <w:top w:val="none" w:sz="0" w:space="0" w:color="auto"/>
        <w:left w:val="none" w:sz="0" w:space="0" w:color="auto"/>
        <w:bottom w:val="none" w:sz="0" w:space="0" w:color="auto"/>
        <w:right w:val="none" w:sz="0" w:space="0" w:color="auto"/>
      </w:divBdr>
    </w:div>
    <w:div w:id="1547140125">
      <w:bodyDiv w:val="1"/>
      <w:marLeft w:val="0"/>
      <w:marRight w:val="0"/>
      <w:marTop w:val="0"/>
      <w:marBottom w:val="0"/>
      <w:divBdr>
        <w:top w:val="none" w:sz="0" w:space="0" w:color="auto"/>
        <w:left w:val="none" w:sz="0" w:space="0" w:color="auto"/>
        <w:bottom w:val="none" w:sz="0" w:space="0" w:color="auto"/>
        <w:right w:val="none" w:sz="0" w:space="0" w:color="auto"/>
      </w:divBdr>
    </w:div>
    <w:div w:id="1549342350">
      <w:bodyDiv w:val="1"/>
      <w:marLeft w:val="0"/>
      <w:marRight w:val="0"/>
      <w:marTop w:val="0"/>
      <w:marBottom w:val="0"/>
      <w:divBdr>
        <w:top w:val="none" w:sz="0" w:space="0" w:color="auto"/>
        <w:left w:val="none" w:sz="0" w:space="0" w:color="auto"/>
        <w:bottom w:val="none" w:sz="0" w:space="0" w:color="auto"/>
        <w:right w:val="none" w:sz="0" w:space="0" w:color="auto"/>
      </w:divBdr>
    </w:div>
    <w:div w:id="1563060984">
      <w:bodyDiv w:val="1"/>
      <w:marLeft w:val="0"/>
      <w:marRight w:val="0"/>
      <w:marTop w:val="0"/>
      <w:marBottom w:val="0"/>
      <w:divBdr>
        <w:top w:val="none" w:sz="0" w:space="0" w:color="auto"/>
        <w:left w:val="none" w:sz="0" w:space="0" w:color="auto"/>
        <w:bottom w:val="none" w:sz="0" w:space="0" w:color="auto"/>
        <w:right w:val="none" w:sz="0" w:space="0" w:color="auto"/>
      </w:divBdr>
    </w:div>
    <w:div w:id="1567035522">
      <w:bodyDiv w:val="1"/>
      <w:marLeft w:val="0"/>
      <w:marRight w:val="0"/>
      <w:marTop w:val="0"/>
      <w:marBottom w:val="0"/>
      <w:divBdr>
        <w:top w:val="none" w:sz="0" w:space="0" w:color="auto"/>
        <w:left w:val="none" w:sz="0" w:space="0" w:color="auto"/>
        <w:bottom w:val="none" w:sz="0" w:space="0" w:color="auto"/>
        <w:right w:val="none" w:sz="0" w:space="0" w:color="auto"/>
      </w:divBdr>
    </w:div>
    <w:div w:id="1567304897">
      <w:bodyDiv w:val="1"/>
      <w:marLeft w:val="0"/>
      <w:marRight w:val="0"/>
      <w:marTop w:val="0"/>
      <w:marBottom w:val="0"/>
      <w:divBdr>
        <w:top w:val="none" w:sz="0" w:space="0" w:color="auto"/>
        <w:left w:val="none" w:sz="0" w:space="0" w:color="auto"/>
        <w:bottom w:val="none" w:sz="0" w:space="0" w:color="auto"/>
        <w:right w:val="none" w:sz="0" w:space="0" w:color="auto"/>
      </w:divBdr>
    </w:div>
    <w:div w:id="1567689239">
      <w:bodyDiv w:val="1"/>
      <w:marLeft w:val="0"/>
      <w:marRight w:val="0"/>
      <w:marTop w:val="0"/>
      <w:marBottom w:val="0"/>
      <w:divBdr>
        <w:top w:val="none" w:sz="0" w:space="0" w:color="auto"/>
        <w:left w:val="none" w:sz="0" w:space="0" w:color="auto"/>
        <w:bottom w:val="none" w:sz="0" w:space="0" w:color="auto"/>
        <w:right w:val="none" w:sz="0" w:space="0" w:color="auto"/>
      </w:divBdr>
    </w:div>
    <w:div w:id="1570387024">
      <w:bodyDiv w:val="1"/>
      <w:marLeft w:val="0"/>
      <w:marRight w:val="0"/>
      <w:marTop w:val="0"/>
      <w:marBottom w:val="0"/>
      <w:divBdr>
        <w:top w:val="none" w:sz="0" w:space="0" w:color="auto"/>
        <w:left w:val="none" w:sz="0" w:space="0" w:color="auto"/>
        <w:bottom w:val="none" w:sz="0" w:space="0" w:color="auto"/>
        <w:right w:val="none" w:sz="0" w:space="0" w:color="auto"/>
      </w:divBdr>
    </w:div>
    <w:div w:id="1570843488">
      <w:bodyDiv w:val="1"/>
      <w:marLeft w:val="0"/>
      <w:marRight w:val="0"/>
      <w:marTop w:val="0"/>
      <w:marBottom w:val="0"/>
      <w:divBdr>
        <w:top w:val="none" w:sz="0" w:space="0" w:color="auto"/>
        <w:left w:val="none" w:sz="0" w:space="0" w:color="auto"/>
        <w:bottom w:val="none" w:sz="0" w:space="0" w:color="auto"/>
        <w:right w:val="none" w:sz="0" w:space="0" w:color="auto"/>
      </w:divBdr>
    </w:div>
    <w:div w:id="1575168172">
      <w:bodyDiv w:val="1"/>
      <w:marLeft w:val="0"/>
      <w:marRight w:val="0"/>
      <w:marTop w:val="0"/>
      <w:marBottom w:val="0"/>
      <w:divBdr>
        <w:top w:val="none" w:sz="0" w:space="0" w:color="auto"/>
        <w:left w:val="none" w:sz="0" w:space="0" w:color="auto"/>
        <w:bottom w:val="none" w:sz="0" w:space="0" w:color="auto"/>
        <w:right w:val="none" w:sz="0" w:space="0" w:color="auto"/>
      </w:divBdr>
    </w:div>
    <w:div w:id="1580090088">
      <w:bodyDiv w:val="1"/>
      <w:marLeft w:val="0"/>
      <w:marRight w:val="0"/>
      <w:marTop w:val="0"/>
      <w:marBottom w:val="0"/>
      <w:divBdr>
        <w:top w:val="none" w:sz="0" w:space="0" w:color="auto"/>
        <w:left w:val="none" w:sz="0" w:space="0" w:color="auto"/>
        <w:bottom w:val="none" w:sz="0" w:space="0" w:color="auto"/>
        <w:right w:val="none" w:sz="0" w:space="0" w:color="auto"/>
      </w:divBdr>
    </w:div>
    <w:div w:id="1585064302">
      <w:bodyDiv w:val="1"/>
      <w:marLeft w:val="0"/>
      <w:marRight w:val="0"/>
      <w:marTop w:val="0"/>
      <w:marBottom w:val="0"/>
      <w:divBdr>
        <w:top w:val="none" w:sz="0" w:space="0" w:color="auto"/>
        <w:left w:val="none" w:sz="0" w:space="0" w:color="auto"/>
        <w:bottom w:val="none" w:sz="0" w:space="0" w:color="auto"/>
        <w:right w:val="none" w:sz="0" w:space="0" w:color="auto"/>
      </w:divBdr>
    </w:div>
    <w:div w:id="1585531087">
      <w:bodyDiv w:val="1"/>
      <w:marLeft w:val="0"/>
      <w:marRight w:val="0"/>
      <w:marTop w:val="0"/>
      <w:marBottom w:val="0"/>
      <w:divBdr>
        <w:top w:val="none" w:sz="0" w:space="0" w:color="auto"/>
        <w:left w:val="none" w:sz="0" w:space="0" w:color="auto"/>
        <w:bottom w:val="none" w:sz="0" w:space="0" w:color="auto"/>
        <w:right w:val="none" w:sz="0" w:space="0" w:color="auto"/>
      </w:divBdr>
    </w:div>
    <w:div w:id="1592154231">
      <w:bodyDiv w:val="1"/>
      <w:marLeft w:val="0"/>
      <w:marRight w:val="0"/>
      <w:marTop w:val="0"/>
      <w:marBottom w:val="0"/>
      <w:divBdr>
        <w:top w:val="none" w:sz="0" w:space="0" w:color="auto"/>
        <w:left w:val="none" w:sz="0" w:space="0" w:color="auto"/>
        <w:bottom w:val="none" w:sz="0" w:space="0" w:color="auto"/>
        <w:right w:val="none" w:sz="0" w:space="0" w:color="auto"/>
      </w:divBdr>
    </w:div>
    <w:div w:id="1597978516">
      <w:bodyDiv w:val="1"/>
      <w:marLeft w:val="0"/>
      <w:marRight w:val="0"/>
      <w:marTop w:val="0"/>
      <w:marBottom w:val="0"/>
      <w:divBdr>
        <w:top w:val="none" w:sz="0" w:space="0" w:color="auto"/>
        <w:left w:val="none" w:sz="0" w:space="0" w:color="auto"/>
        <w:bottom w:val="none" w:sz="0" w:space="0" w:color="auto"/>
        <w:right w:val="none" w:sz="0" w:space="0" w:color="auto"/>
      </w:divBdr>
    </w:div>
    <w:div w:id="1598977318">
      <w:bodyDiv w:val="1"/>
      <w:marLeft w:val="0"/>
      <w:marRight w:val="0"/>
      <w:marTop w:val="0"/>
      <w:marBottom w:val="0"/>
      <w:divBdr>
        <w:top w:val="none" w:sz="0" w:space="0" w:color="auto"/>
        <w:left w:val="none" w:sz="0" w:space="0" w:color="auto"/>
        <w:bottom w:val="none" w:sz="0" w:space="0" w:color="auto"/>
        <w:right w:val="none" w:sz="0" w:space="0" w:color="auto"/>
      </w:divBdr>
    </w:div>
    <w:div w:id="1606423175">
      <w:bodyDiv w:val="1"/>
      <w:marLeft w:val="0"/>
      <w:marRight w:val="0"/>
      <w:marTop w:val="0"/>
      <w:marBottom w:val="0"/>
      <w:divBdr>
        <w:top w:val="none" w:sz="0" w:space="0" w:color="auto"/>
        <w:left w:val="none" w:sz="0" w:space="0" w:color="auto"/>
        <w:bottom w:val="none" w:sz="0" w:space="0" w:color="auto"/>
        <w:right w:val="none" w:sz="0" w:space="0" w:color="auto"/>
      </w:divBdr>
    </w:div>
    <w:div w:id="1607539158">
      <w:bodyDiv w:val="1"/>
      <w:marLeft w:val="0"/>
      <w:marRight w:val="0"/>
      <w:marTop w:val="0"/>
      <w:marBottom w:val="0"/>
      <w:divBdr>
        <w:top w:val="none" w:sz="0" w:space="0" w:color="auto"/>
        <w:left w:val="none" w:sz="0" w:space="0" w:color="auto"/>
        <w:bottom w:val="none" w:sz="0" w:space="0" w:color="auto"/>
        <w:right w:val="none" w:sz="0" w:space="0" w:color="auto"/>
      </w:divBdr>
    </w:div>
    <w:div w:id="1608737141">
      <w:bodyDiv w:val="1"/>
      <w:marLeft w:val="0"/>
      <w:marRight w:val="0"/>
      <w:marTop w:val="0"/>
      <w:marBottom w:val="0"/>
      <w:divBdr>
        <w:top w:val="none" w:sz="0" w:space="0" w:color="auto"/>
        <w:left w:val="none" w:sz="0" w:space="0" w:color="auto"/>
        <w:bottom w:val="none" w:sz="0" w:space="0" w:color="auto"/>
        <w:right w:val="none" w:sz="0" w:space="0" w:color="auto"/>
      </w:divBdr>
    </w:div>
    <w:div w:id="1609241895">
      <w:bodyDiv w:val="1"/>
      <w:marLeft w:val="0"/>
      <w:marRight w:val="0"/>
      <w:marTop w:val="0"/>
      <w:marBottom w:val="0"/>
      <w:divBdr>
        <w:top w:val="none" w:sz="0" w:space="0" w:color="auto"/>
        <w:left w:val="none" w:sz="0" w:space="0" w:color="auto"/>
        <w:bottom w:val="none" w:sz="0" w:space="0" w:color="auto"/>
        <w:right w:val="none" w:sz="0" w:space="0" w:color="auto"/>
      </w:divBdr>
    </w:div>
    <w:div w:id="1609460793">
      <w:bodyDiv w:val="1"/>
      <w:marLeft w:val="0"/>
      <w:marRight w:val="0"/>
      <w:marTop w:val="0"/>
      <w:marBottom w:val="0"/>
      <w:divBdr>
        <w:top w:val="none" w:sz="0" w:space="0" w:color="auto"/>
        <w:left w:val="none" w:sz="0" w:space="0" w:color="auto"/>
        <w:bottom w:val="none" w:sz="0" w:space="0" w:color="auto"/>
        <w:right w:val="none" w:sz="0" w:space="0" w:color="auto"/>
      </w:divBdr>
    </w:div>
    <w:div w:id="1609508949">
      <w:bodyDiv w:val="1"/>
      <w:marLeft w:val="0"/>
      <w:marRight w:val="0"/>
      <w:marTop w:val="0"/>
      <w:marBottom w:val="0"/>
      <w:divBdr>
        <w:top w:val="none" w:sz="0" w:space="0" w:color="auto"/>
        <w:left w:val="none" w:sz="0" w:space="0" w:color="auto"/>
        <w:bottom w:val="none" w:sz="0" w:space="0" w:color="auto"/>
        <w:right w:val="none" w:sz="0" w:space="0" w:color="auto"/>
      </w:divBdr>
    </w:div>
    <w:div w:id="1615944295">
      <w:bodyDiv w:val="1"/>
      <w:marLeft w:val="0"/>
      <w:marRight w:val="0"/>
      <w:marTop w:val="0"/>
      <w:marBottom w:val="0"/>
      <w:divBdr>
        <w:top w:val="none" w:sz="0" w:space="0" w:color="auto"/>
        <w:left w:val="none" w:sz="0" w:space="0" w:color="auto"/>
        <w:bottom w:val="none" w:sz="0" w:space="0" w:color="auto"/>
        <w:right w:val="none" w:sz="0" w:space="0" w:color="auto"/>
      </w:divBdr>
    </w:div>
    <w:div w:id="1619755005">
      <w:bodyDiv w:val="1"/>
      <w:marLeft w:val="0"/>
      <w:marRight w:val="0"/>
      <w:marTop w:val="0"/>
      <w:marBottom w:val="0"/>
      <w:divBdr>
        <w:top w:val="none" w:sz="0" w:space="0" w:color="auto"/>
        <w:left w:val="none" w:sz="0" w:space="0" w:color="auto"/>
        <w:bottom w:val="none" w:sz="0" w:space="0" w:color="auto"/>
        <w:right w:val="none" w:sz="0" w:space="0" w:color="auto"/>
      </w:divBdr>
    </w:div>
    <w:div w:id="1628898864">
      <w:bodyDiv w:val="1"/>
      <w:marLeft w:val="0"/>
      <w:marRight w:val="0"/>
      <w:marTop w:val="0"/>
      <w:marBottom w:val="0"/>
      <w:divBdr>
        <w:top w:val="none" w:sz="0" w:space="0" w:color="auto"/>
        <w:left w:val="none" w:sz="0" w:space="0" w:color="auto"/>
        <w:bottom w:val="none" w:sz="0" w:space="0" w:color="auto"/>
        <w:right w:val="none" w:sz="0" w:space="0" w:color="auto"/>
      </w:divBdr>
    </w:div>
    <w:div w:id="1641422918">
      <w:bodyDiv w:val="1"/>
      <w:marLeft w:val="0"/>
      <w:marRight w:val="0"/>
      <w:marTop w:val="0"/>
      <w:marBottom w:val="0"/>
      <w:divBdr>
        <w:top w:val="none" w:sz="0" w:space="0" w:color="auto"/>
        <w:left w:val="none" w:sz="0" w:space="0" w:color="auto"/>
        <w:bottom w:val="none" w:sz="0" w:space="0" w:color="auto"/>
        <w:right w:val="none" w:sz="0" w:space="0" w:color="auto"/>
      </w:divBdr>
    </w:div>
    <w:div w:id="1647199064">
      <w:bodyDiv w:val="1"/>
      <w:marLeft w:val="0"/>
      <w:marRight w:val="0"/>
      <w:marTop w:val="0"/>
      <w:marBottom w:val="0"/>
      <w:divBdr>
        <w:top w:val="none" w:sz="0" w:space="0" w:color="auto"/>
        <w:left w:val="none" w:sz="0" w:space="0" w:color="auto"/>
        <w:bottom w:val="none" w:sz="0" w:space="0" w:color="auto"/>
        <w:right w:val="none" w:sz="0" w:space="0" w:color="auto"/>
      </w:divBdr>
    </w:div>
    <w:div w:id="1649626675">
      <w:bodyDiv w:val="1"/>
      <w:marLeft w:val="0"/>
      <w:marRight w:val="0"/>
      <w:marTop w:val="0"/>
      <w:marBottom w:val="0"/>
      <w:divBdr>
        <w:top w:val="none" w:sz="0" w:space="0" w:color="auto"/>
        <w:left w:val="none" w:sz="0" w:space="0" w:color="auto"/>
        <w:bottom w:val="none" w:sz="0" w:space="0" w:color="auto"/>
        <w:right w:val="none" w:sz="0" w:space="0" w:color="auto"/>
      </w:divBdr>
    </w:div>
    <w:div w:id="1650747747">
      <w:bodyDiv w:val="1"/>
      <w:marLeft w:val="0"/>
      <w:marRight w:val="0"/>
      <w:marTop w:val="0"/>
      <w:marBottom w:val="0"/>
      <w:divBdr>
        <w:top w:val="none" w:sz="0" w:space="0" w:color="auto"/>
        <w:left w:val="none" w:sz="0" w:space="0" w:color="auto"/>
        <w:bottom w:val="none" w:sz="0" w:space="0" w:color="auto"/>
        <w:right w:val="none" w:sz="0" w:space="0" w:color="auto"/>
      </w:divBdr>
    </w:div>
    <w:div w:id="1652250924">
      <w:bodyDiv w:val="1"/>
      <w:marLeft w:val="0"/>
      <w:marRight w:val="0"/>
      <w:marTop w:val="0"/>
      <w:marBottom w:val="0"/>
      <w:divBdr>
        <w:top w:val="none" w:sz="0" w:space="0" w:color="auto"/>
        <w:left w:val="none" w:sz="0" w:space="0" w:color="auto"/>
        <w:bottom w:val="none" w:sz="0" w:space="0" w:color="auto"/>
        <w:right w:val="none" w:sz="0" w:space="0" w:color="auto"/>
      </w:divBdr>
    </w:div>
    <w:div w:id="1652441110">
      <w:bodyDiv w:val="1"/>
      <w:marLeft w:val="0"/>
      <w:marRight w:val="0"/>
      <w:marTop w:val="0"/>
      <w:marBottom w:val="0"/>
      <w:divBdr>
        <w:top w:val="none" w:sz="0" w:space="0" w:color="auto"/>
        <w:left w:val="none" w:sz="0" w:space="0" w:color="auto"/>
        <w:bottom w:val="none" w:sz="0" w:space="0" w:color="auto"/>
        <w:right w:val="none" w:sz="0" w:space="0" w:color="auto"/>
      </w:divBdr>
    </w:div>
    <w:div w:id="1664164796">
      <w:bodyDiv w:val="1"/>
      <w:marLeft w:val="0"/>
      <w:marRight w:val="0"/>
      <w:marTop w:val="0"/>
      <w:marBottom w:val="0"/>
      <w:divBdr>
        <w:top w:val="none" w:sz="0" w:space="0" w:color="auto"/>
        <w:left w:val="none" w:sz="0" w:space="0" w:color="auto"/>
        <w:bottom w:val="none" w:sz="0" w:space="0" w:color="auto"/>
        <w:right w:val="none" w:sz="0" w:space="0" w:color="auto"/>
      </w:divBdr>
    </w:div>
    <w:div w:id="1683703552">
      <w:bodyDiv w:val="1"/>
      <w:marLeft w:val="0"/>
      <w:marRight w:val="0"/>
      <w:marTop w:val="0"/>
      <w:marBottom w:val="0"/>
      <w:divBdr>
        <w:top w:val="none" w:sz="0" w:space="0" w:color="auto"/>
        <w:left w:val="none" w:sz="0" w:space="0" w:color="auto"/>
        <w:bottom w:val="none" w:sz="0" w:space="0" w:color="auto"/>
        <w:right w:val="none" w:sz="0" w:space="0" w:color="auto"/>
      </w:divBdr>
    </w:div>
    <w:div w:id="1684240641">
      <w:bodyDiv w:val="1"/>
      <w:marLeft w:val="0"/>
      <w:marRight w:val="0"/>
      <w:marTop w:val="0"/>
      <w:marBottom w:val="0"/>
      <w:divBdr>
        <w:top w:val="none" w:sz="0" w:space="0" w:color="auto"/>
        <w:left w:val="none" w:sz="0" w:space="0" w:color="auto"/>
        <w:bottom w:val="none" w:sz="0" w:space="0" w:color="auto"/>
        <w:right w:val="none" w:sz="0" w:space="0" w:color="auto"/>
      </w:divBdr>
    </w:div>
    <w:div w:id="1687898651">
      <w:bodyDiv w:val="1"/>
      <w:marLeft w:val="0"/>
      <w:marRight w:val="0"/>
      <w:marTop w:val="0"/>
      <w:marBottom w:val="0"/>
      <w:divBdr>
        <w:top w:val="none" w:sz="0" w:space="0" w:color="auto"/>
        <w:left w:val="none" w:sz="0" w:space="0" w:color="auto"/>
        <w:bottom w:val="none" w:sz="0" w:space="0" w:color="auto"/>
        <w:right w:val="none" w:sz="0" w:space="0" w:color="auto"/>
      </w:divBdr>
    </w:div>
    <w:div w:id="1692953196">
      <w:bodyDiv w:val="1"/>
      <w:marLeft w:val="0"/>
      <w:marRight w:val="0"/>
      <w:marTop w:val="0"/>
      <w:marBottom w:val="0"/>
      <w:divBdr>
        <w:top w:val="none" w:sz="0" w:space="0" w:color="auto"/>
        <w:left w:val="none" w:sz="0" w:space="0" w:color="auto"/>
        <w:bottom w:val="none" w:sz="0" w:space="0" w:color="auto"/>
        <w:right w:val="none" w:sz="0" w:space="0" w:color="auto"/>
      </w:divBdr>
    </w:div>
    <w:div w:id="1694069586">
      <w:bodyDiv w:val="1"/>
      <w:marLeft w:val="0"/>
      <w:marRight w:val="0"/>
      <w:marTop w:val="0"/>
      <w:marBottom w:val="0"/>
      <w:divBdr>
        <w:top w:val="none" w:sz="0" w:space="0" w:color="auto"/>
        <w:left w:val="none" w:sz="0" w:space="0" w:color="auto"/>
        <w:bottom w:val="none" w:sz="0" w:space="0" w:color="auto"/>
        <w:right w:val="none" w:sz="0" w:space="0" w:color="auto"/>
      </w:divBdr>
    </w:div>
    <w:div w:id="1697579036">
      <w:bodyDiv w:val="1"/>
      <w:marLeft w:val="0"/>
      <w:marRight w:val="0"/>
      <w:marTop w:val="0"/>
      <w:marBottom w:val="0"/>
      <w:divBdr>
        <w:top w:val="none" w:sz="0" w:space="0" w:color="auto"/>
        <w:left w:val="none" w:sz="0" w:space="0" w:color="auto"/>
        <w:bottom w:val="none" w:sz="0" w:space="0" w:color="auto"/>
        <w:right w:val="none" w:sz="0" w:space="0" w:color="auto"/>
      </w:divBdr>
    </w:div>
    <w:div w:id="1701852241">
      <w:bodyDiv w:val="1"/>
      <w:marLeft w:val="0"/>
      <w:marRight w:val="0"/>
      <w:marTop w:val="0"/>
      <w:marBottom w:val="0"/>
      <w:divBdr>
        <w:top w:val="none" w:sz="0" w:space="0" w:color="auto"/>
        <w:left w:val="none" w:sz="0" w:space="0" w:color="auto"/>
        <w:bottom w:val="none" w:sz="0" w:space="0" w:color="auto"/>
        <w:right w:val="none" w:sz="0" w:space="0" w:color="auto"/>
      </w:divBdr>
    </w:div>
    <w:div w:id="1704866440">
      <w:bodyDiv w:val="1"/>
      <w:marLeft w:val="0"/>
      <w:marRight w:val="0"/>
      <w:marTop w:val="0"/>
      <w:marBottom w:val="0"/>
      <w:divBdr>
        <w:top w:val="none" w:sz="0" w:space="0" w:color="auto"/>
        <w:left w:val="none" w:sz="0" w:space="0" w:color="auto"/>
        <w:bottom w:val="none" w:sz="0" w:space="0" w:color="auto"/>
        <w:right w:val="none" w:sz="0" w:space="0" w:color="auto"/>
      </w:divBdr>
    </w:div>
    <w:div w:id="1712344426">
      <w:bodyDiv w:val="1"/>
      <w:marLeft w:val="0"/>
      <w:marRight w:val="0"/>
      <w:marTop w:val="0"/>
      <w:marBottom w:val="0"/>
      <w:divBdr>
        <w:top w:val="none" w:sz="0" w:space="0" w:color="auto"/>
        <w:left w:val="none" w:sz="0" w:space="0" w:color="auto"/>
        <w:bottom w:val="none" w:sz="0" w:space="0" w:color="auto"/>
        <w:right w:val="none" w:sz="0" w:space="0" w:color="auto"/>
      </w:divBdr>
    </w:div>
    <w:div w:id="1713799010">
      <w:bodyDiv w:val="1"/>
      <w:marLeft w:val="0"/>
      <w:marRight w:val="0"/>
      <w:marTop w:val="0"/>
      <w:marBottom w:val="0"/>
      <w:divBdr>
        <w:top w:val="none" w:sz="0" w:space="0" w:color="auto"/>
        <w:left w:val="none" w:sz="0" w:space="0" w:color="auto"/>
        <w:bottom w:val="none" w:sz="0" w:space="0" w:color="auto"/>
        <w:right w:val="none" w:sz="0" w:space="0" w:color="auto"/>
      </w:divBdr>
    </w:div>
    <w:div w:id="1718701980">
      <w:bodyDiv w:val="1"/>
      <w:marLeft w:val="0"/>
      <w:marRight w:val="0"/>
      <w:marTop w:val="0"/>
      <w:marBottom w:val="0"/>
      <w:divBdr>
        <w:top w:val="none" w:sz="0" w:space="0" w:color="auto"/>
        <w:left w:val="none" w:sz="0" w:space="0" w:color="auto"/>
        <w:bottom w:val="none" w:sz="0" w:space="0" w:color="auto"/>
        <w:right w:val="none" w:sz="0" w:space="0" w:color="auto"/>
      </w:divBdr>
    </w:div>
    <w:div w:id="1722090131">
      <w:bodyDiv w:val="1"/>
      <w:marLeft w:val="0"/>
      <w:marRight w:val="0"/>
      <w:marTop w:val="0"/>
      <w:marBottom w:val="0"/>
      <w:divBdr>
        <w:top w:val="none" w:sz="0" w:space="0" w:color="auto"/>
        <w:left w:val="none" w:sz="0" w:space="0" w:color="auto"/>
        <w:bottom w:val="none" w:sz="0" w:space="0" w:color="auto"/>
        <w:right w:val="none" w:sz="0" w:space="0" w:color="auto"/>
      </w:divBdr>
    </w:div>
    <w:div w:id="1726754282">
      <w:bodyDiv w:val="1"/>
      <w:marLeft w:val="0"/>
      <w:marRight w:val="0"/>
      <w:marTop w:val="0"/>
      <w:marBottom w:val="0"/>
      <w:divBdr>
        <w:top w:val="none" w:sz="0" w:space="0" w:color="auto"/>
        <w:left w:val="none" w:sz="0" w:space="0" w:color="auto"/>
        <w:bottom w:val="none" w:sz="0" w:space="0" w:color="auto"/>
        <w:right w:val="none" w:sz="0" w:space="0" w:color="auto"/>
      </w:divBdr>
    </w:div>
    <w:div w:id="1727601535">
      <w:bodyDiv w:val="1"/>
      <w:marLeft w:val="0"/>
      <w:marRight w:val="0"/>
      <w:marTop w:val="0"/>
      <w:marBottom w:val="0"/>
      <w:divBdr>
        <w:top w:val="none" w:sz="0" w:space="0" w:color="auto"/>
        <w:left w:val="none" w:sz="0" w:space="0" w:color="auto"/>
        <w:bottom w:val="none" w:sz="0" w:space="0" w:color="auto"/>
        <w:right w:val="none" w:sz="0" w:space="0" w:color="auto"/>
      </w:divBdr>
    </w:div>
    <w:div w:id="1728187489">
      <w:bodyDiv w:val="1"/>
      <w:marLeft w:val="0"/>
      <w:marRight w:val="0"/>
      <w:marTop w:val="0"/>
      <w:marBottom w:val="0"/>
      <w:divBdr>
        <w:top w:val="none" w:sz="0" w:space="0" w:color="auto"/>
        <w:left w:val="none" w:sz="0" w:space="0" w:color="auto"/>
        <w:bottom w:val="none" w:sz="0" w:space="0" w:color="auto"/>
        <w:right w:val="none" w:sz="0" w:space="0" w:color="auto"/>
      </w:divBdr>
    </w:div>
    <w:div w:id="1754354062">
      <w:bodyDiv w:val="1"/>
      <w:marLeft w:val="0"/>
      <w:marRight w:val="0"/>
      <w:marTop w:val="0"/>
      <w:marBottom w:val="0"/>
      <w:divBdr>
        <w:top w:val="none" w:sz="0" w:space="0" w:color="auto"/>
        <w:left w:val="none" w:sz="0" w:space="0" w:color="auto"/>
        <w:bottom w:val="none" w:sz="0" w:space="0" w:color="auto"/>
        <w:right w:val="none" w:sz="0" w:space="0" w:color="auto"/>
      </w:divBdr>
    </w:div>
    <w:div w:id="1758479341">
      <w:bodyDiv w:val="1"/>
      <w:marLeft w:val="0"/>
      <w:marRight w:val="0"/>
      <w:marTop w:val="0"/>
      <w:marBottom w:val="0"/>
      <w:divBdr>
        <w:top w:val="none" w:sz="0" w:space="0" w:color="auto"/>
        <w:left w:val="none" w:sz="0" w:space="0" w:color="auto"/>
        <w:bottom w:val="none" w:sz="0" w:space="0" w:color="auto"/>
        <w:right w:val="none" w:sz="0" w:space="0" w:color="auto"/>
      </w:divBdr>
    </w:div>
    <w:div w:id="1767924361">
      <w:bodyDiv w:val="1"/>
      <w:marLeft w:val="0"/>
      <w:marRight w:val="0"/>
      <w:marTop w:val="0"/>
      <w:marBottom w:val="0"/>
      <w:divBdr>
        <w:top w:val="none" w:sz="0" w:space="0" w:color="auto"/>
        <w:left w:val="none" w:sz="0" w:space="0" w:color="auto"/>
        <w:bottom w:val="none" w:sz="0" w:space="0" w:color="auto"/>
        <w:right w:val="none" w:sz="0" w:space="0" w:color="auto"/>
      </w:divBdr>
    </w:div>
    <w:div w:id="1769889778">
      <w:bodyDiv w:val="1"/>
      <w:marLeft w:val="0"/>
      <w:marRight w:val="0"/>
      <w:marTop w:val="0"/>
      <w:marBottom w:val="0"/>
      <w:divBdr>
        <w:top w:val="none" w:sz="0" w:space="0" w:color="auto"/>
        <w:left w:val="none" w:sz="0" w:space="0" w:color="auto"/>
        <w:bottom w:val="none" w:sz="0" w:space="0" w:color="auto"/>
        <w:right w:val="none" w:sz="0" w:space="0" w:color="auto"/>
      </w:divBdr>
    </w:div>
    <w:div w:id="1770811640">
      <w:bodyDiv w:val="1"/>
      <w:marLeft w:val="0"/>
      <w:marRight w:val="0"/>
      <w:marTop w:val="0"/>
      <w:marBottom w:val="0"/>
      <w:divBdr>
        <w:top w:val="none" w:sz="0" w:space="0" w:color="auto"/>
        <w:left w:val="none" w:sz="0" w:space="0" w:color="auto"/>
        <w:bottom w:val="none" w:sz="0" w:space="0" w:color="auto"/>
        <w:right w:val="none" w:sz="0" w:space="0" w:color="auto"/>
      </w:divBdr>
    </w:div>
    <w:div w:id="1771385996">
      <w:bodyDiv w:val="1"/>
      <w:marLeft w:val="0"/>
      <w:marRight w:val="0"/>
      <w:marTop w:val="0"/>
      <w:marBottom w:val="0"/>
      <w:divBdr>
        <w:top w:val="none" w:sz="0" w:space="0" w:color="auto"/>
        <w:left w:val="none" w:sz="0" w:space="0" w:color="auto"/>
        <w:bottom w:val="none" w:sz="0" w:space="0" w:color="auto"/>
        <w:right w:val="none" w:sz="0" w:space="0" w:color="auto"/>
      </w:divBdr>
    </w:div>
    <w:div w:id="1771390435">
      <w:bodyDiv w:val="1"/>
      <w:marLeft w:val="0"/>
      <w:marRight w:val="0"/>
      <w:marTop w:val="0"/>
      <w:marBottom w:val="0"/>
      <w:divBdr>
        <w:top w:val="none" w:sz="0" w:space="0" w:color="auto"/>
        <w:left w:val="none" w:sz="0" w:space="0" w:color="auto"/>
        <w:bottom w:val="none" w:sz="0" w:space="0" w:color="auto"/>
        <w:right w:val="none" w:sz="0" w:space="0" w:color="auto"/>
      </w:divBdr>
    </w:div>
    <w:div w:id="1779373093">
      <w:bodyDiv w:val="1"/>
      <w:marLeft w:val="0"/>
      <w:marRight w:val="0"/>
      <w:marTop w:val="0"/>
      <w:marBottom w:val="0"/>
      <w:divBdr>
        <w:top w:val="none" w:sz="0" w:space="0" w:color="auto"/>
        <w:left w:val="none" w:sz="0" w:space="0" w:color="auto"/>
        <w:bottom w:val="none" w:sz="0" w:space="0" w:color="auto"/>
        <w:right w:val="none" w:sz="0" w:space="0" w:color="auto"/>
      </w:divBdr>
    </w:div>
    <w:div w:id="1782845246">
      <w:bodyDiv w:val="1"/>
      <w:marLeft w:val="0"/>
      <w:marRight w:val="0"/>
      <w:marTop w:val="0"/>
      <w:marBottom w:val="0"/>
      <w:divBdr>
        <w:top w:val="none" w:sz="0" w:space="0" w:color="auto"/>
        <w:left w:val="none" w:sz="0" w:space="0" w:color="auto"/>
        <w:bottom w:val="none" w:sz="0" w:space="0" w:color="auto"/>
        <w:right w:val="none" w:sz="0" w:space="0" w:color="auto"/>
      </w:divBdr>
    </w:div>
    <w:div w:id="1785805454">
      <w:bodyDiv w:val="1"/>
      <w:marLeft w:val="0"/>
      <w:marRight w:val="0"/>
      <w:marTop w:val="0"/>
      <w:marBottom w:val="0"/>
      <w:divBdr>
        <w:top w:val="none" w:sz="0" w:space="0" w:color="auto"/>
        <w:left w:val="none" w:sz="0" w:space="0" w:color="auto"/>
        <w:bottom w:val="none" w:sz="0" w:space="0" w:color="auto"/>
        <w:right w:val="none" w:sz="0" w:space="0" w:color="auto"/>
      </w:divBdr>
    </w:div>
    <w:div w:id="1789544521">
      <w:bodyDiv w:val="1"/>
      <w:marLeft w:val="0"/>
      <w:marRight w:val="0"/>
      <w:marTop w:val="0"/>
      <w:marBottom w:val="0"/>
      <w:divBdr>
        <w:top w:val="none" w:sz="0" w:space="0" w:color="auto"/>
        <w:left w:val="none" w:sz="0" w:space="0" w:color="auto"/>
        <w:bottom w:val="none" w:sz="0" w:space="0" w:color="auto"/>
        <w:right w:val="none" w:sz="0" w:space="0" w:color="auto"/>
      </w:divBdr>
    </w:div>
    <w:div w:id="1796367426">
      <w:bodyDiv w:val="1"/>
      <w:marLeft w:val="0"/>
      <w:marRight w:val="0"/>
      <w:marTop w:val="0"/>
      <w:marBottom w:val="0"/>
      <w:divBdr>
        <w:top w:val="none" w:sz="0" w:space="0" w:color="auto"/>
        <w:left w:val="none" w:sz="0" w:space="0" w:color="auto"/>
        <w:bottom w:val="none" w:sz="0" w:space="0" w:color="auto"/>
        <w:right w:val="none" w:sz="0" w:space="0" w:color="auto"/>
      </w:divBdr>
    </w:div>
    <w:div w:id="1800296574">
      <w:bodyDiv w:val="1"/>
      <w:marLeft w:val="0"/>
      <w:marRight w:val="0"/>
      <w:marTop w:val="0"/>
      <w:marBottom w:val="0"/>
      <w:divBdr>
        <w:top w:val="none" w:sz="0" w:space="0" w:color="auto"/>
        <w:left w:val="none" w:sz="0" w:space="0" w:color="auto"/>
        <w:bottom w:val="none" w:sz="0" w:space="0" w:color="auto"/>
        <w:right w:val="none" w:sz="0" w:space="0" w:color="auto"/>
      </w:divBdr>
    </w:div>
    <w:div w:id="1812822099">
      <w:bodyDiv w:val="1"/>
      <w:marLeft w:val="0"/>
      <w:marRight w:val="0"/>
      <w:marTop w:val="0"/>
      <w:marBottom w:val="0"/>
      <w:divBdr>
        <w:top w:val="none" w:sz="0" w:space="0" w:color="auto"/>
        <w:left w:val="none" w:sz="0" w:space="0" w:color="auto"/>
        <w:bottom w:val="none" w:sz="0" w:space="0" w:color="auto"/>
        <w:right w:val="none" w:sz="0" w:space="0" w:color="auto"/>
      </w:divBdr>
    </w:div>
    <w:div w:id="1813593616">
      <w:bodyDiv w:val="1"/>
      <w:marLeft w:val="0"/>
      <w:marRight w:val="0"/>
      <w:marTop w:val="0"/>
      <w:marBottom w:val="0"/>
      <w:divBdr>
        <w:top w:val="none" w:sz="0" w:space="0" w:color="auto"/>
        <w:left w:val="none" w:sz="0" w:space="0" w:color="auto"/>
        <w:bottom w:val="none" w:sz="0" w:space="0" w:color="auto"/>
        <w:right w:val="none" w:sz="0" w:space="0" w:color="auto"/>
      </w:divBdr>
    </w:div>
    <w:div w:id="1819421715">
      <w:bodyDiv w:val="1"/>
      <w:marLeft w:val="0"/>
      <w:marRight w:val="0"/>
      <w:marTop w:val="0"/>
      <w:marBottom w:val="0"/>
      <w:divBdr>
        <w:top w:val="none" w:sz="0" w:space="0" w:color="auto"/>
        <w:left w:val="none" w:sz="0" w:space="0" w:color="auto"/>
        <w:bottom w:val="none" w:sz="0" w:space="0" w:color="auto"/>
        <w:right w:val="none" w:sz="0" w:space="0" w:color="auto"/>
      </w:divBdr>
    </w:div>
    <w:div w:id="1821844414">
      <w:bodyDiv w:val="1"/>
      <w:marLeft w:val="0"/>
      <w:marRight w:val="0"/>
      <w:marTop w:val="0"/>
      <w:marBottom w:val="0"/>
      <w:divBdr>
        <w:top w:val="none" w:sz="0" w:space="0" w:color="auto"/>
        <w:left w:val="none" w:sz="0" w:space="0" w:color="auto"/>
        <w:bottom w:val="none" w:sz="0" w:space="0" w:color="auto"/>
        <w:right w:val="none" w:sz="0" w:space="0" w:color="auto"/>
      </w:divBdr>
    </w:div>
    <w:div w:id="1824080997">
      <w:bodyDiv w:val="1"/>
      <w:marLeft w:val="0"/>
      <w:marRight w:val="0"/>
      <w:marTop w:val="0"/>
      <w:marBottom w:val="0"/>
      <w:divBdr>
        <w:top w:val="none" w:sz="0" w:space="0" w:color="auto"/>
        <w:left w:val="none" w:sz="0" w:space="0" w:color="auto"/>
        <w:bottom w:val="none" w:sz="0" w:space="0" w:color="auto"/>
        <w:right w:val="none" w:sz="0" w:space="0" w:color="auto"/>
      </w:divBdr>
    </w:div>
    <w:div w:id="1824855977">
      <w:bodyDiv w:val="1"/>
      <w:marLeft w:val="0"/>
      <w:marRight w:val="0"/>
      <w:marTop w:val="0"/>
      <w:marBottom w:val="0"/>
      <w:divBdr>
        <w:top w:val="none" w:sz="0" w:space="0" w:color="auto"/>
        <w:left w:val="none" w:sz="0" w:space="0" w:color="auto"/>
        <w:bottom w:val="none" w:sz="0" w:space="0" w:color="auto"/>
        <w:right w:val="none" w:sz="0" w:space="0" w:color="auto"/>
      </w:divBdr>
    </w:div>
    <w:div w:id="1826168307">
      <w:bodyDiv w:val="1"/>
      <w:marLeft w:val="0"/>
      <w:marRight w:val="0"/>
      <w:marTop w:val="0"/>
      <w:marBottom w:val="0"/>
      <w:divBdr>
        <w:top w:val="none" w:sz="0" w:space="0" w:color="auto"/>
        <w:left w:val="none" w:sz="0" w:space="0" w:color="auto"/>
        <w:bottom w:val="none" w:sz="0" w:space="0" w:color="auto"/>
        <w:right w:val="none" w:sz="0" w:space="0" w:color="auto"/>
      </w:divBdr>
    </w:div>
    <w:div w:id="1828277201">
      <w:bodyDiv w:val="1"/>
      <w:marLeft w:val="0"/>
      <w:marRight w:val="0"/>
      <w:marTop w:val="0"/>
      <w:marBottom w:val="0"/>
      <w:divBdr>
        <w:top w:val="none" w:sz="0" w:space="0" w:color="auto"/>
        <w:left w:val="none" w:sz="0" w:space="0" w:color="auto"/>
        <w:bottom w:val="none" w:sz="0" w:space="0" w:color="auto"/>
        <w:right w:val="none" w:sz="0" w:space="0" w:color="auto"/>
      </w:divBdr>
    </w:div>
    <w:div w:id="1854563527">
      <w:bodyDiv w:val="1"/>
      <w:marLeft w:val="0"/>
      <w:marRight w:val="0"/>
      <w:marTop w:val="0"/>
      <w:marBottom w:val="0"/>
      <w:divBdr>
        <w:top w:val="none" w:sz="0" w:space="0" w:color="auto"/>
        <w:left w:val="none" w:sz="0" w:space="0" w:color="auto"/>
        <w:bottom w:val="none" w:sz="0" w:space="0" w:color="auto"/>
        <w:right w:val="none" w:sz="0" w:space="0" w:color="auto"/>
      </w:divBdr>
    </w:div>
    <w:div w:id="1865436663">
      <w:bodyDiv w:val="1"/>
      <w:marLeft w:val="0"/>
      <w:marRight w:val="0"/>
      <w:marTop w:val="0"/>
      <w:marBottom w:val="0"/>
      <w:divBdr>
        <w:top w:val="none" w:sz="0" w:space="0" w:color="auto"/>
        <w:left w:val="none" w:sz="0" w:space="0" w:color="auto"/>
        <w:bottom w:val="none" w:sz="0" w:space="0" w:color="auto"/>
        <w:right w:val="none" w:sz="0" w:space="0" w:color="auto"/>
      </w:divBdr>
    </w:div>
    <w:div w:id="1870947514">
      <w:bodyDiv w:val="1"/>
      <w:marLeft w:val="0"/>
      <w:marRight w:val="0"/>
      <w:marTop w:val="0"/>
      <w:marBottom w:val="0"/>
      <w:divBdr>
        <w:top w:val="none" w:sz="0" w:space="0" w:color="auto"/>
        <w:left w:val="none" w:sz="0" w:space="0" w:color="auto"/>
        <w:bottom w:val="none" w:sz="0" w:space="0" w:color="auto"/>
        <w:right w:val="none" w:sz="0" w:space="0" w:color="auto"/>
      </w:divBdr>
    </w:div>
    <w:div w:id="1873952034">
      <w:bodyDiv w:val="1"/>
      <w:marLeft w:val="0"/>
      <w:marRight w:val="0"/>
      <w:marTop w:val="0"/>
      <w:marBottom w:val="0"/>
      <w:divBdr>
        <w:top w:val="none" w:sz="0" w:space="0" w:color="auto"/>
        <w:left w:val="none" w:sz="0" w:space="0" w:color="auto"/>
        <w:bottom w:val="none" w:sz="0" w:space="0" w:color="auto"/>
        <w:right w:val="none" w:sz="0" w:space="0" w:color="auto"/>
      </w:divBdr>
    </w:div>
    <w:div w:id="1878469114">
      <w:bodyDiv w:val="1"/>
      <w:marLeft w:val="0"/>
      <w:marRight w:val="0"/>
      <w:marTop w:val="0"/>
      <w:marBottom w:val="0"/>
      <w:divBdr>
        <w:top w:val="none" w:sz="0" w:space="0" w:color="auto"/>
        <w:left w:val="none" w:sz="0" w:space="0" w:color="auto"/>
        <w:bottom w:val="none" w:sz="0" w:space="0" w:color="auto"/>
        <w:right w:val="none" w:sz="0" w:space="0" w:color="auto"/>
      </w:divBdr>
    </w:div>
    <w:div w:id="1883319164">
      <w:bodyDiv w:val="1"/>
      <w:marLeft w:val="0"/>
      <w:marRight w:val="0"/>
      <w:marTop w:val="0"/>
      <w:marBottom w:val="0"/>
      <w:divBdr>
        <w:top w:val="none" w:sz="0" w:space="0" w:color="auto"/>
        <w:left w:val="none" w:sz="0" w:space="0" w:color="auto"/>
        <w:bottom w:val="none" w:sz="0" w:space="0" w:color="auto"/>
        <w:right w:val="none" w:sz="0" w:space="0" w:color="auto"/>
      </w:divBdr>
    </w:div>
    <w:div w:id="1892957265">
      <w:bodyDiv w:val="1"/>
      <w:marLeft w:val="0"/>
      <w:marRight w:val="0"/>
      <w:marTop w:val="0"/>
      <w:marBottom w:val="0"/>
      <w:divBdr>
        <w:top w:val="none" w:sz="0" w:space="0" w:color="auto"/>
        <w:left w:val="none" w:sz="0" w:space="0" w:color="auto"/>
        <w:bottom w:val="none" w:sz="0" w:space="0" w:color="auto"/>
        <w:right w:val="none" w:sz="0" w:space="0" w:color="auto"/>
      </w:divBdr>
    </w:div>
    <w:div w:id="1898784831">
      <w:bodyDiv w:val="1"/>
      <w:marLeft w:val="0"/>
      <w:marRight w:val="0"/>
      <w:marTop w:val="0"/>
      <w:marBottom w:val="0"/>
      <w:divBdr>
        <w:top w:val="none" w:sz="0" w:space="0" w:color="auto"/>
        <w:left w:val="none" w:sz="0" w:space="0" w:color="auto"/>
        <w:bottom w:val="none" w:sz="0" w:space="0" w:color="auto"/>
        <w:right w:val="none" w:sz="0" w:space="0" w:color="auto"/>
      </w:divBdr>
    </w:div>
    <w:div w:id="1898971189">
      <w:bodyDiv w:val="1"/>
      <w:marLeft w:val="0"/>
      <w:marRight w:val="0"/>
      <w:marTop w:val="0"/>
      <w:marBottom w:val="0"/>
      <w:divBdr>
        <w:top w:val="none" w:sz="0" w:space="0" w:color="auto"/>
        <w:left w:val="none" w:sz="0" w:space="0" w:color="auto"/>
        <w:bottom w:val="none" w:sz="0" w:space="0" w:color="auto"/>
        <w:right w:val="none" w:sz="0" w:space="0" w:color="auto"/>
      </w:divBdr>
    </w:div>
    <w:div w:id="1899900509">
      <w:bodyDiv w:val="1"/>
      <w:marLeft w:val="0"/>
      <w:marRight w:val="0"/>
      <w:marTop w:val="0"/>
      <w:marBottom w:val="0"/>
      <w:divBdr>
        <w:top w:val="none" w:sz="0" w:space="0" w:color="auto"/>
        <w:left w:val="none" w:sz="0" w:space="0" w:color="auto"/>
        <w:bottom w:val="none" w:sz="0" w:space="0" w:color="auto"/>
        <w:right w:val="none" w:sz="0" w:space="0" w:color="auto"/>
      </w:divBdr>
    </w:div>
    <w:div w:id="1900945427">
      <w:bodyDiv w:val="1"/>
      <w:marLeft w:val="0"/>
      <w:marRight w:val="0"/>
      <w:marTop w:val="0"/>
      <w:marBottom w:val="0"/>
      <w:divBdr>
        <w:top w:val="none" w:sz="0" w:space="0" w:color="auto"/>
        <w:left w:val="none" w:sz="0" w:space="0" w:color="auto"/>
        <w:bottom w:val="none" w:sz="0" w:space="0" w:color="auto"/>
        <w:right w:val="none" w:sz="0" w:space="0" w:color="auto"/>
      </w:divBdr>
    </w:div>
    <w:div w:id="1907565354">
      <w:bodyDiv w:val="1"/>
      <w:marLeft w:val="0"/>
      <w:marRight w:val="0"/>
      <w:marTop w:val="0"/>
      <w:marBottom w:val="0"/>
      <w:divBdr>
        <w:top w:val="none" w:sz="0" w:space="0" w:color="auto"/>
        <w:left w:val="none" w:sz="0" w:space="0" w:color="auto"/>
        <w:bottom w:val="none" w:sz="0" w:space="0" w:color="auto"/>
        <w:right w:val="none" w:sz="0" w:space="0" w:color="auto"/>
      </w:divBdr>
    </w:div>
    <w:div w:id="1909683526">
      <w:bodyDiv w:val="1"/>
      <w:marLeft w:val="0"/>
      <w:marRight w:val="0"/>
      <w:marTop w:val="0"/>
      <w:marBottom w:val="0"/>
      <w:divBdr>
        <w:top w:val="none" w:sz="0" w:space="0" w:color="auto"/>
        <w:left w:val="none" w:sz="0" w:space="0" w:color="auto"/>
        <w:bottom w:val="none" w:sz="0" w:space="0" w:color="auto"/>
        <w:right w:val="none" w:sz="0" w:space="0" w:color="auto"/>
      </w:divBdr>
    </w:div>
    <w:div w:id="1914654743">
      <w:bodyDiv w:val="1"/>
      <w:marLeft w:val="0"/>
      <w:marRight w:val="0"/>
      <w:marTop w:val="0"/>
      <w:marBottom w:val="0"/>
      <w:divBdr>
        <w:top w:val="none" w:sz="0" w:space="0" w:color="auto"/>
        <w:left w:val="none" w:sz="0" w:space="0" w:color="auto"/>
        <w:bottom w:val="none" w:sz="0" w:space="0" w:color="auto"/>
        <w:right w:val="none" w:sz="0" w:space="0" w:color="auto"/>
      </w:divBdr>
    </w:div>
    <w:div w:id="1923248541">
      <w:bodyDiv w:val="1"/>
      <w:marLeft w:val="0"/>
      <w:marRight w:val="0"/>
      <w:marTop w:val="0"/>
      <w:marBottom w:val="0"/>
      <w:divBdr>
        <w:top w:val="none" w:sz="0" w:space="0" w:color="auto"/>
        <w:left w:val="none" w:sz="0" w:space="0" w:color="auto"/>
        <w:bottom w:val="none" w:sz="0" w:space="0" w:color="auto"/>
        <w:right w:val="none" w:sz="0" w:space="0" w:color="auto"/>
      </w:divBdr>
    </w:div>
    <w:div w:id="1927956135">
      <w:bodyDiv w:val="1"/>
      <w:marLeft w:val="0"/>
      <w:marRight w:val="0"/>
      <w:marTop w:val="0"/>
      <w:marBottom w:val="0"/>
      <w:divBdr>
        <w:top w:val="none" w:sz="0" w:space="0" w:color="auto"/>
        <w:left w:val="none" w:sz="0" w:space="0" w:color="auto"/>
        <w:bottom w:val="none" w:sz="0" w:space="0" w:color="auto"/>
        <w:right w:val="none" w:sz="0" w:space="0" w:color="auto"/>
      </w:divBdr>
    </w:div>
    <w:div w:id="1935043122">
      <w:bodyDiv w:val="1"/>
      <w:marLeft w:val="0"/>
      <w:marRight w:val="0"/>
      <w:marTop w:val="0"/>
      <w:marBottom w:val="0"/>
      <w:divBdr>
        <w:top w:val="none" w:sz="0" w:space="0" w:color="auto"/>
        <w:left w:val="none" w:sz="0" w:space="0" w:color="auto"/>
        <w:bottom w:val="none" w:sz="0" w:space="0" w:color="auto"/>
        <w:right w:val="none" w:sz="0" w:space="0" w:color="auto"/>
      </w:divBdr>
    </w:div>
    <w:div w:id="1935747005">
      <w:bodyDiv w:val="1"/>
      <w:marLeft w:val="0"/>
      <w:marRight w:val="0"/>
      <w:marTop w:val="0"/>
      <w:marBottom w:val="0"/>
      <w:divBdr>
        <w:top w:val="none" w:sz="0" w:space="0" w:color="auto"/>
        <w:left w:val="none" w:sz="0" w:space="0" w:color="auto"/>
        <w:bottom w:val="none" w:sz="0" w:space="0" w:color="auto"/>
        <w:right w:val="none" w:sz="0" w:space="0" w:color="auto"/>
      </w:divBdr>
    </w:div>
    <w:div w:id="1948150614">
      <w:bodyDiv w:val="1"/>
      <w:marLeft w:val="0"/>
      <w:marRight w:val="0"/>
      <w:marTop w:val="0"/>
      <w:marBottom w:val="0"/>
      <w:divBdr>
        <w:top w:val="none" w:sz="0" w:space="0" w:color="auto"/>
        <w:left w:val="none" w:sz="0" w:space="0" w:color="auto"/>
        <w:bottom w:val="none" w:sz="0" w:space="0" w:color="auto"/>
        <w:right w:val="none" w:sz="0" w:space="0" w:color="auto"/>
      </w:divBdr>
    </w:div>
    <w:div w:id="1950354170">
      <w:bodyDiv w:val="1"/>
      <w:marLeft w:val="0"/>
      <w:marRight w:val="0"/>
      <w:marTop w:val="0"/>
      <w:marBottom w:val="0"/>
      <w:divBdr>
        <w:top w:val="none" w:sz="0" w:space="0" w:color="auto"/>
        <w:left w:val="none" w:sz="0" w:space="0" w:color="auto"/>
        <w:bottom w:val="none" w:sz="0" w:space="0" w:color="auto"/>
        <w:right w:val="none" w:sz="0" w:space="0" w:color="auto"/>
      </w:divBdr>
    </w:div>
    <w:div w:id="1952274862">
      <w:bodyDiv w:val="1"/>
      <w:marLeft w:val="0"/>
      <w:marRight w:val="0"/>
      <w:marTop w:val="0"/>
      <w:marBottom w:val="0"/>
      <w:divBdr>
        <w:top w:val="none" w:sz="0" w:space="0" w:color="auto"/>
        <w:left w:val="none" w:sz="0" w:space="0" w:color="auto"/>
        <w:bottom w:val="none" w:sz="0" w:space="0" w:color="auto"/>
        <w:right w:val="none" w:sz="0" w:space="0" w:color="auto"/>
      </w:divBdr>
    </w:div>
    <w:div w:id="1952323068">
      <w:bodyDiv w:val="1"/>
      <w:marLeft w:val="0"/>
      <w:marRight w:val="0"/>
      <w:marTop w:val="0"/>
      <w:marBottom w:val="0"/>
      <w:divBdr>
        <w:top w:val="none" w:sz="0" w:space="0" w:color="auto"/>
        <w:left w:val="none" w:sz="0" w:space="0" w:color="auto"/>
        <w:bottom w:val="none" w:sz="0" w:space="0" w:color="auto"/>
        <w:right w:val="none" w:sz="0" w:space="0" w:color="auto"/>
      </w:divBdr>
    </w:div>
    <w:div w:id="1955939446">
      <w:bodyDiv w:val="1"/>
      <w:marLeft w:val="0"/>
      <w:marRight w:val="0"/>
      <w:marTop w:val="0"/>
      <w:marBottom w:val="0"/>
      <w:divBdr>
        <w:top w:val="none" w:sz="0" w:space="0" w:color="auto"/>
        <w:left w:val="none" w:sz="0" w:space="0" w:color="auto"/>
        <w:bottom w:val="none" w:sz="0" w:space="0" w:color="auto"/>
        <w:right w:val="none" w:sz="0" w:space="0" w:color="auto"/>
      </w:divBdr>
    </w:div>
    <w:div w:id="1961450037">
      <w:bodyDiv w:val="1"/>
      <w:marLeft w:val="0"/>
      <w:marRight w:val="0"/>
      <w:marTop w:val="0"/>
      <w:marBottom w:val="0"/>
      <w:divBdr>
        <w:top w:val="none" w:sz="0" w:space="0" w:color="auto"/>
        <w:left w:val="none" w:sz="0" w:space="0" w:color="auto"/>
        <w:bottom w:val="none" w:sz="0" w:space="0" w:color="auto"/>
        <w:right w:val="none" w:sz="0" w:space="0" w:color="auto"/>
      </w:divBdr>
    </w:div>
    <w:div w:id="1966082626">
      <w:bodyDiv w:val="1"/>
      <w:marLeft w:val="0"/>
      <w:marRight w:val="0"/>
      <w:marTop w:val="0"/>
      <w:marBottom w:val="0"/>
      <w:divBdr>
        <w:top w:val="none" w:sz="0" w:space="0" w:color="auto"/>
        <w:left w:val="none" w:sz="0" w:space="0" w:color="auto"/>
        <w:bottom w:val="none" w:sz="0" w:space="0" w:color="auto"/>
        <w:right w:val="none" w:sz="0" w:space="0" w:color="auto"/>
      </w:divBdr>
    </w:div>
    <w:div w:id="1969621080">
      <w:bodyDiv w:val="1"/>
      <w:marLeft w:val="0"/>
      <w:marRight w:val="0"/>
      <w:marTop w:val="0"/>
      <w:marBottom w:val="0"/>
      <w:divBdr>
        <w:top w:val="none" w:sz="0" w:space="0" w:color="auto"/>
        <w:left w:val="none" w:sz="0" w:space="0" w:color="auto"/>
        <w:bottom w:val="none" w:sz="0" w:space="0" w:color="auto"/>
        <w:right w:val="none" w:sz="0" w:space="0" w:color="auto"/>
      </w:divBdr>
    </w:div>
    <w:div w:id="1969701023">
      <w:bodyDiv w:val="1"/>
      <w:marLeft w:val="0"/>
      <w:marRight w:val="0"/>
      <w:marTop w:val="0"/>
      <w:marBottom w:val="0"/>
      <w:divBdr>
        <w:top w:val="none" w:sz="0" w:space="0" w:color="auto"/>
        <w:left w:val="none" w:sz="0" w:space="0" w:color="auto"/>
        <w:bottom w:val="none" w:sz="0" w:space="0" w:color="auto"/>
        <w:right w:val="none" w:sz="0" w:space="0" w:color="auto"/>
      </w:divBdr>
    </w:div>
    <w:div w:id="1971205754">
      <w:bodyDiv w:val="1"/>
      <w:marLeft w:val="0"/>
      <w:marRight w:val="0"/>
      <w:marTop w:val="0"/>
      <w:marBottom w:val="0"/>
      <w:divBdr>
        <w:top w:val="none" w:sz="0" w:space="0" w:color="auto"/>
        <w:left w:val="none" w:sz="0" w:space="0" w:color="auto"/>
        <w:bottom w:val="none" w:sz="0" w:space="0" w:color="auto"/>
        <w:right w:val="none" w:sz="0" w:space="0" w:color="auto"/>
      </w:divBdr>
    </w:div>
    <w:div w:id="1972049994">
      <w:bodyDiv w:val="1"/>
      <w:marLeft w:val="0"/>
      <w:marRight w:val="0"/>
      <w:marTop w:val="0"/>
      <w:marBottom w:val="0"/>
      <w:divBdr>
        <w:top w:val="none" w:sz="0" w:space="0" w:color="auto"/>
        <w:left w:val="none" w:sz="0" w:space="0" w:color="auto"/>
        <w:bottom w:val="none" w:sz="0" w:space="0" w:color="auto"/>
        <w:right w:val="none" w:sz="0" w:space="0" w:color="auto"/>
      </w:divBdr>
    </w:div>
    <w:div w:id="1973635840">
      <w:bodyDiv w:val="1"/>
      <w:marLeft w:val="0"/>
      <w:marRight w:val="0"/>
      <w:marTop w:val="0"/>
      <w:marBottom w:val="0"/>
      <w:divBdr>
        <w:top w:val="none" w:sz="0" w:space="0" w:color="auto"/>
        <w:left w:val="none" w:sz="0" w:space="0" w:color="auto"/>
        <w:bottom w:val="none" w:sz="0" w:space="0" w:color="auto"/>
        <w:right w:val="none" w:sz="0" w:space="0" w:color="auto"/>
      </w:divBdr>
    </w:div>
    <w:div w:id="1976636475">
      <w:bodyDiv w:val="1"/>
      <w:marLeft w:val="0"/>
      <w:marRight w:val="0"/>
      <w:marTop w:val="0"/>
      <w:marBottom w:val="0"/>
      <w:divBdr>
        <w:top w:val="none" w:sz="0" w:space="0" w:color="auto"/>
        <w:left w:val="none" w:sz="0" w:space="0" w:color="auto"/>
        <w:bottom w:val="none" w:sz="0" w:space="0" w:color="auto"/>
        <w:right w:val="none" w:sz="0" w:space="0" w:color="auto"/>
      </w:divBdr>
    </w:div>
    <w:div w:id="1986425122">
      <w:bodyDiv w:val="1"/>
      <w:marLeft w:val="0"/>
      <w:marRight w:val="0"/>
      <w:marTop w:val="0"/>
      <w:marBottom w:val="0"/>
      <w:divBdr>
        <w:top w:val="none" w:sz="0" w:space="0" w:color="auto"/>
        <w:left w:val="none" w:sz="0" w:space="0" w:color="auto"/>
        <w:bottom w:val="none" w:sz="0" w:space="0" w:color="auto"/>
        <w:right w:val="none" w:sz="0" w:space="0" w:color="auto"/>
      </w:divBdr>
    </w:div>
    <w:div w:id="1987586658">
      <w:bodyDiv w:val="1"/>
      <w:marLeft w:val="0"/>
      <w:marRight w:val="0"/>
      <w:marTop w:val="0"/>
      <w:marBottom w:val="0"/>
      <w:divBdr>
        <w:top w:val="none" w:sz="0" w:space="0" w:color="auto"/>
        <w:left w:val="none" w:sz="0" w:space="0" w:color="auto"/>
        <w:bottom w:val="none" w:sz="0" w:space="0" w:color="auto"/>
        <w:right w:val="none" w:sz="0" w:space="0" w:color="auto"/>
      </w:divBdr>
    </w:div>
    <w:div w:id="1989901385">
      <w:bodyDiv w:val="1"/>
      <w:marLeft w:val="0"/>
      <w:marRight w:val="0"/>
      <w:marTop w:val="0"/>
      <w:marBottom w:val="0"/>
      <w:divBdr>
        <w:top w:val="none" w:sz="0" w:space="0" w:color="auto"/>
        <w:left w:val="none" w:sz="0" w:space="0" w:color="auto"/>
        <w:bottom w:val="none" w:sz="0" w:space="0" w:color="auto"/>
        <w:right w:val="none" w:sz="0" w:space="0" w:color="auto"/>
      </w:divBdr>
    </w:div>
    <w:div w:id="2002856282">
      <w:bodyDiv w:val="1"/>
      <w:marLeft w:val="0"/>
      <w:marRight w:val="0"/>
      <w:marTop w:val="0"/>
      <w:marBottom w:val="0"/>
      <w:divBdr>
        <w:top w:val="none" w:sz="0" w:space="0" w:color="auto"/>
        <w:left w:val="none" w:sz="0" w:space="0" w:color="auto"/>
        <w:bottom w:val="none" w:sz="0" w:space="0" w:color="auto"/>
        <w:right w:val="none" w:sz="0" w:space="0" w:color="auto"/>
      </w:divBdr>
    </w:div>
    <w:div w:id="2006975575">
      <w:bodyDiv w:val="1"/>
      <w:marLeft w:val="0"/>
      <w:marRight w:val="0"/>
      <w:marTop w:val="0"/>
      <w:marBottom w:val="0"/>
      <w:divBdr>
        <w:top w:val="none" w:sz="0" w:space="0" w:color="auto"/>
        <w:left w:val="none" w:sz="0" w:space="0" w:color="auto"/>
        <w:bottom w:val="none" w:sz="0" w:space="0" w:color="auto"/>
        <w:right w:val="none" w:sz="0" w:space="0" w:color="auto"/>
      </w:divBdr>
    </w:div>
    <w:div w:id="2007828114">
      <w:bodyDiv w:val="1"/>
      <w:marLeft w:val="0"/>
      <w:marRight w:val="0"/>
      <w:marTop w:val="0"/>
      <w:marBottom w:val="0"/>
      <w:divBdr>
        <w:top w:val="none" w:sz="0" w:space="0" w:color="auto"/>
        <w:left w:val="none" w:sz="0" w:space="0" w:color="auto"/>
        <w:bottom w:val="none" w:sz="0" w:space="0" w:color="auto"/>
        <w:right w:val="none" w:sz="0" w:space="0" w:color="auto"/>
      </w:divBdr>
    </w:div>
    <w:div w:id="2010673687">
      <w:bodyDiv w:val="1"/>
      <w:marLeft w:val="0"/>
      <w:marRight w:val="0"/>
      <w:marTop w:val="0"/>
      <w:marBottom w:val="0"/>
      <w:divBdr>
        <w:top w:val="none" w:sz="0" w:space="0" w:color="auto"/>
        <w:left w:val="none" w:sz="0" w:space="0" w:color="auto"/>
        <w:bottom w:val="none" w:sz="0" w:space="0" w:color="auto"/>
        <w:right w:val="none" w:sz="0" w:space="0" w:color="auto"/>
      </w:divBdr>
    </w:div>
    <w:div w:id="2012752485">
      <w:bodyDiv w:val="1"/>
      <w:marLeft w:val="0"/>
      <w:marRight w:val="0"/>
      <w:marTop w:val="0"/>
      <w:marBottom w:val="0"/>
      <w:divBdr>
        <w:top w:val="none" w:sz="0" w:space="0" w:color="auto"/>
        <w:left w:val="none" w:sz="0" w:space="0" w:color="auto"/>
        <w:bottom w:val="none" w:sz="0" w:space="0" w:color="auto"/>
        <w:right w:val="none" w:sz="0" w:space="0" w:color="auto"/>
      </w:divBdr>
    </w:div>
    <w:div w:id="2013609098">
      <w:bodyDiv w:val="1"/>
      <w:marLeft w:val="0"/>
      <w:marRight w:val="0"/>
      <w:marTop w:val="0"/>
      <w:marBottom w:val="0"/>
      <w:divBdr>
        <w:top w:val="none" w:sz="0" w:space="0" w:color="auto"/>
        <w:left w:val="none" w:sz="0" w:space="0" w:color="auto"/>
        <w:bottom w:val="none" w:sz="0" w:space="0" w:color="auto"/>
        <w:right w:val="none" w:sz="0" w:space="0" w:color="auto"/>
      </w:divBdr>
    </w:div>
    <w:div w:id="2018800218">
      <w:bodyDiv w:val="1"/>
      <w:marLeft w:val="0"/>
      <w:marRight w:val="0"/>
      <w:marTop w:val="0"/>
      <w:marBottom w:val="0"/>
      <w:divBdr>
        <w:top w:val="none" w:sz="0" w:space="0" w:color="auto"/>
        <w:left w:val="none" w:sz="0" w:space="0" w:color="auto"/>
        <w:bottom w:val="none" w:sz="0" w:space="0" w:color="auto"/>
        <w:right w:val="none" w:sz="0" w:space="0" w:color="auto"/>
      </w:divBdr>
    </w:div>
    <w:div w:id="2026443985">
      <w:bodyDiv w:val="1"/>
      <w:marLeft w:val="0"/>
      <w:marRight w:val="0"/>
      <w:marTop w:val="0"/>
      <w:marBottom w:val="0"/>
      <w:divBdr>
        <w:top w:val="none" w:sz="0" w:space="0" w:color="auto"/>
        <w:left w:val="none" w:sz="0" w:space="0" w:color="auto"/>
        <w:bottom w:val="none" w:sz="0" w:space="0" w:color="auto"/>
        <w:right w:val="none" w:sz="0" w:space="0" w:color="auto"/>
      </w:divBdr>
    </w:div>
    <w:div w:id="2033068509">
      <w:bodyDiv w:val="1"/>
      <w:marLeft w:val="0"/>
      <w:marRight w:val="0"/>
      <w:marTop w:val="0"/>
      <w:marBottom w:val="0"/>
      <w:divBdr>
        <w:top w:val="none" w:sz="0" w:space="0" w:color="auto"/>
        <w:left w:val="none" w:sz="0" w:space="0" w:color="auto"/>
        <w:bottom w:val="none" w:sz="0" w:space="0" w:color="auto"/>
        <w:right w:val="none" w:sz="0" w:space="0" w:color="auto"/>
      </w:divBdr>
    </w:div>
    <w:div w:id="2033145761">
      <w:bodyDiv w:val="1"/>
      <w:marLeft w:val="0"/>
      <w:marRight w:val="0"/>
      <w:marTop w:val="0"/>
      <w:marBottom w:val="0"/>
      <w:divBdr>
        <w:top w:val="none" w:sz="0" w:space="0" w:color="auto"/>
        <w:left w:val="none" w:sz="0" w:space="0" w:color="auto"/>
        <w:bottom w:val="none" w:sz="0" w:space="0" w:color="auto"/>
        <w:right w:val="none" w:sz="0" w:space="0" w:color="auto"/>
      </w:divBdr>
    </w:div>
    <w:div w:id="2044986674">
      <w:bodyDiv w:val="1"/>
      <w:marLeft w:val="0"/>
      <w:marRight w:val="0"/>
      <w:marTop w:val="0"/>
      <w:marBottom w:val="0"/>
      <w:divBdr>
        <w:top w:val="none" w:sz="0" w:space="0" w:color="auto"/>
        <w:left w:val="none" w:sz="0" w:space="0" w:color="auto"/>
        <w:bottom w:val="none" w:sz="0" w:space="0" w:color="auto"/>
        <w:right w:val="none" w:sz="0" w:space="0" w:color="auto"/>
      </w:divBdr>
    </w:div>
    <w:div w:id="2048875821">
      <w:bodyDiv w:val="1"/>
      <w:marLeft w:val="0"/>
      <w:marRight w:val="0"/>
      <w:marTop w:val="0"/>
      <w:marBottom w:val="0"/>
      <w:divBdr>
        <w:top w:val="none" w:sz="0" w:space="0" w:color="auto"/>
        <w:left w:val="none" w:sz="0" w:space="0" w:color="auto"/>
        <w:bottom w:val="none" w:sz="0" w:space="0" w:color="auto"/>
        <w:right w:val="none" w:sz="0" w:space="0" w:color="auto"/>
      </w:divBdr>
    </w:div>
    <w:div w:id="2062631493">
      <w:bodyDiv w:val="1"/>
      <w:marLeft w:val="0"/>
      <w:marRight w:val="0"/>
      <w:marTop w:val="0"/>
      <w:marBottom w:val="0"/>
      <w:divBdr>
        <w:top w:val="none" w:sz="0" w:space="0" w:color="auto"/>
        <w:left w:val="none" w:sz="0" w:space="0" w:color="auto"/>
        <w:bottom w:val="none" w:sz="0" w:space="0" w:color="auto"/>
        <w:right w:val="none" w:sz="0" w:space="0" w:color="auto"/>
      </w:divBdr>
    </w:div>
    <w:div w:id="2063551229">
      <w:bodyDiv w:val="1"/>
      <w:marLeft w:val="0"/>
      <w:marRight w:val="0"/>
      <w:marTop w:val="0"/>
      <w:marBottom w:val="0"/>
      <w:divBdr>
        <w:top w:val="none" w:sz="0" w:space="0" w:color="auto"/>
        <w:left w:val="none" w:sz="0" w:space="0" w:color="auto"/>
        <w:bottom w:val="none" w:sz="0" w:space="0" w:color="auto"/>
        <w:right w:val="none" w:sz="0" w:space="0" w:color="auto"/>
      </w:divBdr>
    </w:div>
    <w:div w:id="2068722385">
      <w:bodyDiv w:val="1"/>
      <w:marLeft w:val="0"/>
      <w:marRight w:val="0"/>
      <w:marTop w:val="0"/>
      <w:marBottom w:val="0"/>
      <w:divBdr>
        <w:top w:val="none" w:sz="0" w:space="0" w:color="auto"/>
        <w:left w:val="none" w:sz="0" w:space="0" w:color="auto"/>
        <w:bottom w:val="none" w:sz="0" w:space="0" w:color="auto"/>
        <w:right w:val="none" w:sz="0" w:space="0" w:color="auto"/>
      </w:divBdr>
    </w:div>
    <w:div w:id="2070108635">
      <w:bodyDiv w:val="1"/>
      <w:marLeft w:val="0"/>
      <w:marRight w:val="0"/>
      <w:marTop w:val="0"/>
      <w:marBottom w:val="0"/>
      <w:divBdr>
        <w:top w:val="none" w:sz="0" w:space="0" w:color="auto"/>
        <w:left w:val="none" w:sz="0" w:space="0" w:color="auto"/>
        <w:bottom w:val="none" w:sz="0" w:space="0" w:color="auto"/>
        <w:right w:val="none" w:sz="0" w:space="0" w:color="auto"/>
      </w:divBdr>
    </w:div>
    <w:div w:id="2078623580">
      <w:bodyDiv w:val="1"/>
      <w:marLeft w:val="0"/>
      <w:marRight w:val="0"/>
      <w:marTop w:val="0"/>
      <w:marBottom w:val="0"/>
      <w:divBdr>
        <w:top w:val="none" w:sz="0" w:space="0" w:color="auto"/>
        <w:left w:val="none" w:sz="0" w:space="0" w:color="auto"/>
        <w:bottom w:val="none" w:sz="0" w:space="0" w:color="auto"/>
        <w:right w:val="none" w:sz="0" w:space="0" w:color="auto"/>
      </w:divBdr>
    </w:div>
    <w:div w:id="2078894666">
      <w:bodyDiv w:val="1"/>
      <w:marLeft w:val="0"/>
      <w:marRight w:val="0"/>
      <w:marTop w:val="0"/>
      <w:marBottom w:val="0"/>
      <w:divBdr>
        <w:top w:val="none" w:sz="0" w:space="0" w:color="auto"/>
        <w:left w:val="none" w:sz="0" w:space="0" w:color="auto"/>
        <w:bottom w:val="none" w:sz="0" w:space="0" w:color="auto"/>
        <w:right w:val="none" w:sz="0" w:space="0" w:color="auto"/>
      </w:divBdr>
    </w:div>
    <w:div w:id="2087140851">
      <w:bodyDiv w:val="1"/>
      <w:marLeft w:val="0"/>
      <w:marRight w:val="0"/>
      <w:marTop w:val="0"/>
      <w:marBottom w:val="0"/>
      <w:divBdr>
        <w:top w:val="none" w:sz="0" w:space="0" w:color="auto"/>
        <w:left w:val="none" w:sz="0" w:space="0" w:color="auto"/>
        <w:bottom w:val="none" w:sz="0" w:space="0" w:color="auto"/>
        <w:right w:val="none" w:sz="0" w:space="0" w:color="auto"/>
      </w:divBdr>
    </w:div>
    <w:div w:id="2093578385">
      <w:bodyDiv w:val="1"/>
      <w:marLeft w:val="0"/>
      <w:marRight w:val="0"/>
      <w:marTop w:val="0"/>
      <w:marBottom w:val="0"/>
      <w:divBdr>
        <w:top w:val="none" w:sz="0" w:space="0" w:color="auto"/>
        <w:left w:val="none" w:sz="0" w:space="0" w:color="auto"/>
        <w:bottom w:val="none" w:sz="0" w:space="0" w:color="auto"/>
        <w:right w:val="none" w:sz="0" w:space="0" w:color="auto"/>
      </w:divBdr>
    </w:div>
    <w:div w:id="2095128931">
      <w:bodyDiv w:val="1"/>
      <w:marLeft w:val="0"/>
      <w:marRight w:val="0"/>
      <w:marTop w:val="0"/>
      <w:marBottom w:val="0"/>
      <w:divBdr>
        <w:top w:val="none" w:sz="0" w:space="0" w:color="auto"/>
        <w:left w:val="none" w:sz="0" w:space="0" w:color="auto"/>
        <w:bottom w:val="none" w:sz="0" w:space="0" w:color="auto"/>
        <w:right w:val="none" w:sz="0" w:space="0" w:color="auto"/>
      </w:divBdr>
    </w:div>
    <w:div w:id="2106025626">
      <w:bodyDiv w:val="1"/>
      <w:marLeft w:val="0"/>
      <w:marRight w:val="0"/>
      <w:marTop w:val="0"/>
      <w:marBottom w:val="0"/>
      <w:divBdr>
        <w:top w:val="none" w:sz="0" w:space="0" w:color="auto"/>
        <w:left w:val="none" w:sz="0" w:space="0" w:color="auto"/>
        <w:bottom w:val="none" w:sz="0" w:space="0" w:color="auto"/>
        <w:right w:val="none" w:sz="0" w:space="0" w:color="auto"/>
      </w:divBdr>
    </w:div>
    <w:div w:id="2112242714">
      <w:bodyDiv w:val="1"/>
      <w:marLeft w:val="0"/>
      <w:marRight w:val="0"/>
      <w:marTop w:val="0"/>
      <w:marBottom w:val="0"/>
      <w:divBdr>
        <w:top w:val="none" w:sz="0" w:space="0" w:color="auto"/>
        <w:left w:val="none" w:sz="0" w:space="0" w:color="auto"/>
        <w:bottom w:val="none" w:sz="0" w:space="0" w:color="auto"/>
        <w:right w:val="none" w:sz="0" w:space="0" w:color="auto"/>
      </w:divBdr>
    </w:div>
    <w:div w:id="2129470414">
      <w:bodyDiv w:val="1"/>
      <w:marLeft w:val="0"/>
      <w:marRight w:val="0"/>
      <w:marTop w:val="0"/>
      <w:marBottom w:val="0"/>
      <w:divBdr>
        <w:top w:val="none" w:sz="0" w:space="0" w:color="auto"/>
        <w:left w:val="none" w:sz="0" w:space="0" w:color="auto"/>
        <w:bottom w:val="none" w:sz="0" w:space="0" w:color="auto"/>
        <w:right w:val="none" w:sz="0" w:space="0" w:color="auto"/>
      </w:divBdr>
    </w:div>
    <w:div w:id="2135906414">
      <w:bodyDiv w:val="1"/>
      <w:marLeft w:val="0"/>
      <w:marRight w:val="0"/>
      <w:marTop w:val="0"/>
      <w:marBottom w:val="0"/>
      <w:divBdr>
        <w:top w:val="none" w:sz="0" w:space="0" w:color="auto"/>
        <w:left w:val="none" w:sz="0" w:space="0" w:color="auto"/>
        <w:bottom w:val="none" w:sz="0" w:space="0" w:color="auto"/>
        <w:right w:val="none" w:sz="0" w:space="0" w:color="auto"/>
      </w:divBdr>
    </w:div>
    <w:div w:id="2136747749">
      <w:bodyDiv w:val="1"/>
      <w:marLeft w:val="0"/>
      <w:marRight w:val="0"/>
      <w:marTop w:val="0"/>
      <w:marBottom w:val="0"/>
      <w:divBdr>
        <w:top w:val="none" w:sz="0" w:space="0" w:color="auto"/>
        <w:left w:val="none" w:sz="0" w:space="0" w:color="auto"/>
        <w:bottom w:val="none" w:sz="0" w:space="0" w:color="auto"/>
        <w:right w:val="none" w:sz="0" w:space="0" w:color="auto"/>
      </w:divBdr>
    </w:div>
    <w:div w:id="2138141042">
      <w:bodyDiv w:val="1"/>
      <w:marLeft w:val="0"/>
      <w:marRight w:val="0"/>
      <w:marTop w:val="0"/>
      <w:marBottom w:val="0"/>
      <w:divBdr>
        <w:top w:val="none" w:sz="0" w:space="0" w:color="auto"/>
        <w:left w:val="none" w:sz="0" w:space="0" w:color="auto"/>
        <w:bottom w:val="none" w:sz="0" w:space="0" w:color="auto"/>
        <w:right w:val="none" w:sz="0" w:space="0" w:color="auto"/>
      </w:divBdr>
    </w:div>
    <w:div w:id="2142384054">
      <w:bodyDiv w:val="1"/>
      <w:marLeft w:val="0"/>
      <w:marRight w:val="0"/>
      <w:marTop w:val="0"/>
      <w:marBottom w:val="0"/>
      <w:divBdr>
        <w:top w:val="none" w:sz="0" w:space="0" w:color="auto"/>
        <w:left w:val="none" w:sz="0" w:space="0" w:color="auto"/>
        <w:bottom w:val="none" w:sz="0" w:space="0" w:color="auto"/>
        <w:right w:val="none" w:sz="0" w:space="0" w:color="auto"/>
      </w:divBdr>
    </w:div>
    <w:div w:id="21442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Rowena.Phair@oecd.org" TargetMode="External"/><Relationship Id="rId26" Type="http://schemas.openxmlformats.org/officeDocument/2006/relationships/hyperlink" Target="https://cloudstor.aarnet.edu.au/plus/s/OHN9ANfu0GOFQxG"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hyperlink" Target="https://hdl.handle.net/10289/12603"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Rowena.Phair@oecd.org" TargetMode="External"/><Relationship Id="rId25" Type="http://schemas.openxmlformats.org/officeDocument/2006/relationships/hyperlink" Target="https://surveyswesternsydney.au1.qualtrics.com/jfe/form/SV_0POTm" TargetMode="External"/><Relationship Id="rId33" Type="http://schemas.openxmlformats.org/officeDocument/2006/relationships/hyperlink" Target="https://www.teaoM&#257;ori.news/kapa-haka-on-rise-2018-highlights" TargetMode="External"/><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Rowena.Phair@oecd.org" TargetMode="External"/><Relationship Id="rId20" Type="http://schemas.openxmlformats.org/officeDocument/2006/relationships/image" Target="media/image2.png"/><Relationship Id="rId29" Type="http://schemas.openxmlformats.org/officeDocument/2006/relationships/hyperlink" Target="https://www.kohanga.ac.nz/"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cloudstor.aarnet.edu.au/plus/s/24ZPOVGlgw9a70w" TargetMode="External"/><Relationship Id="rId32" Type="http://schemas.openxmlformats.org/officeDocument/2006/relationships/hyperlink" Target="http://hdl.handle.net/10179/12808" TargetMode="External"/><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Rowena.Phair@oecd.org" TargetMode="External"/><Relationship Id="rId23" Type="http://schemas.openxmlformats.org/officeDocument/2006/relationships/hyperlink" Target="https://www2.gov.bc.ca/gov/content/education-training/k-12/administration/legislation-policy/glossary&amp;title=Glossary%22%20%5Cl%20%22aboriginal_language%22%20%5Ct%20%22_self" TargetMode="External"/><Relationship Id="rId28" Type="http://schemas.openxmlformats.org/officeDocument/2006/relationships/hyperlink" Target="https://mb-cdi.stanford.edu/adaptations.html" TargetMode="External"/><Relationship Id="rId36" Type="http://schemas.openxmlformats.org/officeDocument/2006/relationships/hyperlink" Target="https://www.nzqa.govt.nz/M&#257;ori-and-pasifika/field-M&#257;ori-assessment-support-materials/M&#257;ori-performance/" TargetMode="External"/><Relationship Id="rId10" Type="http://schemas.openxmlformats.org/officeDocument/2006/relationships/footer" Target="footer1.xml"/><Relationship Id="rId19" Type="http://schemas.openxmlformats.org/officeDocument/2006/relationships/chart" Target="charts/chart1.xml"/><Relationship Id="rId31" Type="http://schemas.openxmlformats.org/officeDocument/2006/relationships/hyperlink" Target="https://www.tekaharoa.com/index.php/tekaharoa/article/view/13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3.emf"/><Relationship Id="rId27" Type="http://schemas.openxmlformats.org/officeDocument/2006/relationships/hyperlink" Target="https://www.facebook.com/EarlyLanguageInventory/" TargetMode="External"/><Relationship Id="rId30" Type="http://schemas.openxmlformats.org/officeDocument/2006/relationships/hyperlink" Target="http://www.chiefatahm.com/index.html" TargetMode="External"/><Relationship Id="rId35" Type="http://schemas.openxmlformats.org/officeDocument/2006/relationships/hyperlink" Target="http://www.review.mai.ac.nz/mrindex/MR/article/view/187/194.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mataurangamaori.tki.org.nz/" TargetMode="External"/><Relationship Id="rId1" Type="http://schemas.openxmlformats.org/officeDocument/2006/relationships/hyperlink" Target="https://www.toknz/Administrators+Corner/Principles+of+Partnership.htmlelau.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2016\Workgroup%20Templates\ONE%20Author%20ODPub.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Users\deniseangelo\Documents\WritingProjects_2018SEPT\OECD\Australia\Revival%20Oz%20Census%202016%20data.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Users\deniseangelo\Documents\WritingProjects_2018SEPT\OECD\Australia\Revival%20Oz%20Census%202016%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Sheet3!$A$2</c:f>
              <c:strCache>
                <c:ptCount val="1"/>
                <c:pt idx="0">
                  <c:v>2001</c:v>
                </c:pt>
              </c:strCache>
            </c:strRef>
          </c:tx>
          <c:spPr>
            <a:solidFill>
              <a:schemeClr val="accent1"/>
            </a:solidFill>
            <a:ln>
              <a:noFill/>
            </a:ln>
            <a:effectLst/>
          </c:spPr>
          <c:invertIfNegative val="0"/>
          <c:cat>
            <c:strRef>
              <c:f>Sheet3!$B$1:$J$1</c:f>
              <c:strCache>
                <c:ptCount val="9"/>
                <c:pt idx="0">
                  <c:v>under 15</c:v>
                </c:pt>
                <c:pt idx="1">
                  <c:v>15–24</c:v>
                </c:pt>
                <c:pt idx="2">
                  <c:v>25–34</c:v>
                </c:pt>
                <c:pt idx="3">
                  <c:v>35–44</c:v>
                </c:pt>
                <c:pt idx="4">
                  <c:v>45–54</c:v>
                </c:pt>
                <c:pt idx="5">
                  <c:v>55–64</c:v>
                </c:pt>
                <c:pt idx="6">
                  <c:v>65–74</c:v>
                </c:pt>
                <c:pt idx="7">
                  <c:v>75+</c:v>
                </c:pt>
                <c:pt idx="8">
                  <c:v>Total</c:v>
                </c:pt>
              </c:strCache>
            </c:strRef>
          </c:cat>
          <c:val>
            <c:numRef>
              <c:f>Sheet3!$B$2:$J$2</c:f>
              <c:numCache>
                <c:formatCode>General</c:formatCode>
                <c:ptCount val="9"/>
                <c:pt idx="0">
                  <c:v>20</c:v>
                </c:pt>
                <c:pt idx="1">
                  <c:v>24.5</c:v>
                </c:pt>
                <c:pt idx="2">
                  <c:v>23.3</c:v>
                </c:pt>
                <c:pt idx="3">
                  <c:v>25</c:v>
                </c:pt>
                <c:pt idx="4">
                  <c:v>30.4</c:v>
                </c:pt>
                <c:pt idx="5">
                  <c:v>43.8</c:v>
                </c:pt>
                <c:pt idx="6">
                  <c:v>53.9</c:v>
                </c:pt>
                <c:pt idx="7">
                  <c:v>55.6</c:v>
                </c:pt>
                <c:pt idx="8">
                  <c:v>25.2</c:v>
                </c:pt>
              </c:numCache>
            </c:numRef>
          </c:val>
          <c:extLst>
            <c:ext xmlns:c16="http://schemas.microsoft.com/office/drawing/2014/chart" uri="{C3380CC4-5D6E-409C-BE32-E72D297353CC}">
              <c16:uniqueId val="{00000000-AFA1-4E31-82A4-A8967CD0F164}"/>
            </c:ext>
          </c:extLst>
        </c:ser>
        <c:ser>
          <c:idx val="1"/>
          <c:order val="1"/>
          <c:tx>
            <c:strRef>
              <c:f>Sheet3!$A$3</c:f>
              <c:strCache>
                <c:ptCount val="1"/>
                <c:pt idx="0">
                  <c:v>2006</c:v>
                </c:pt>
              </c:strCache>
            </c:strRef>
          </c:tx>
          <c:spPr>
            <a:solidFill>
              <a:schemeClr val="accent2"/>
            </a:solidFill>
            <a:ln>
              <a:noFill/>
            </a:ln>
            <a:effectLst/>
          </c:spPr>
          <c:invertIfNegative val="0"/>
          <c:cat>
            <c:strRef>
              <c:f>Sheet3!$B$1:$J$1</c:f>
              <c:strCache>
                <c:ptCount val="9"/>
                <c:pt idx="0">
                  <c:v>under 15</c:v>
                </c:pt>
                <c:pt idx="1">
                  <c:v>15–24</c:v>
                </c:pt>
                <c:pt idx="2">
                  <c:v>25–34</c:v>
                </c:pt>
                <c:pt idx="3">
                  <c:v>35–44</c:v>
                </c:pt>
                <c:pt idx="4">
                  <c:v>45–54</c:v>
                </c:pt>
                <c:pt idx="5">
                  <c:v>55–64</c:v>
                </c:pt>
                <c:pt idx="6">
                  <c:v>65–74</c:v>
                </c:pt>
                <c:pt idx="7">
                  <c:v>75+</c:v>
                </c:pt>
                <c:pt idx="8">
                  <c:v>Total</c:v>
                </c:pt>
              </c:strCache>
            </c:strRef>
          </c:cat>
          <c:val>
            <c:numRef>
              <c:f>Sheet3!$B$3:$J$3</c:f>
              <c:numCache>
                <c:formatCode>General</c:formatCode>
                <c:ptCount val="9"/>
                <c:pt idx="0">
                  <c:v>18.100000000000001</c:v>
                </c:pt>
                <c:pt idx="1">
                  <c:v>23</c:v>
                </c:pt>
                <c:pt idx="2">
                  <c:v>23.5</c:v>
                </c:pt>
                <c:pt idx="3">
                  <c:v>24.3</c:v>
                </c:pt>
                <c:pt idx="4">
                  <c:v>27.5</c:v>
                </c:pt>
                <c:pt idx="5">
                  <c:v>36</c:v>
                </c:pt>
                <c:pt idx="6">
                  <c:v>47.4</c:v>
                </c:pt>
                <c:pt idx="7">
                  <c:v>52</c:v>
                </c:pt>
                <c:pt idx="8">
                  <c:v>23.7</c:v>
                </c:pt>
              </c:numCache>
            </c:numRef>
          </c:val>
          <c:extLst>
            <c:ext xmlns:c16="http://schemas.microsoft.com/office/drawing/2014/chart" uri="{C3380CC4-5D6E-409C-BE32-E72D297353CC}">
              <c16:uniqueId val="{00000001-AFA1-4E31-82A4-A8967CD0F164}"/>
            </c:ext>
          </c:extLst>
        </c:ser>
        <c:ser>
          <c:idx val="2"/>
          <c:order val="2"/>
          <c:tx>
            <c:strRef>
              <c:f>Sheet3!$A$4</c:f>
              <c:strCache>
                <c:ptCount val="1"/>
                <c:pt idx="0">
                  <c:v>2013</c:v>
                </c:pt>
              </c:strCache>
            </c:strRef>
          </c:tx>
          <c:spPr>
            <a:solidFill>
              <a:schemeClr val="accent3"/>
            </a:solidFill>
            <a:ln>
              <a:noFill/>
            </a:ln>
            <a:effectLst/>
          </c:spPr>
          <c:invertIfNegative val="0"/>
          <c:cat>
            <c:strRef>
              <c:f>Sheet3!$B$1:$J$1</c:f>
              <c:strCache>
                <c:ptCount val="9"/>
                <c:pt idx="0">
                  <c:v>under 15</c:v>
                </c:pt>
                <c:pt idx="1">
                  <c:v>15–24</c:v>
                </c:pt>
                <c:pt idx="2">
                  <c:v>25–34</c:v>
                </c:pt>
                <c:pt idx="3">
                  <c:v>35–44</c:v>
                </c:pt>
                <c:pt idx="4">
                  <c:v>45–54</c:v>
                </c:pt>
                <c:pt idx="5">
                  <c:v>55–64</c:v>
                </c:pt>
                <c:pt idx="6">
                  <c:v>65–74</c:v>
                </c:pt>
                <c:pt idx="7">
                  <c:v>75+</c:v>
                </c:pt>
                <c:pt idx="8">
                  <c:v>Total</c:v>
                </c:pt>
              </c:strCache>
            </c:strRef>
          </c:cat>
          <c:val>
            <c:numRef>
              <c:f>Sheet3!$B$4:$J$4</c:f>
              <c:numCache>
                <c:formatCode>General</c:formatCode>
                <c:ptCount val="9"/>
                <c:pt idx="0">
                  <c:v>16.7</c:v>
                </c:pt>
                <c:pt idx="1">
                  <c:v>20</c:v>
                </c:pt>
                <c:pt idx="2">
                  <c:v>22.7</c:v>
                </c:pt>
                <c:pt idx="3">
                  <c:v>21.8</c:v>
                </c:pt>
                <c:pt idx="4">
                  <c:v>23.2</c:v>
                </c:pt>
                <c:pt idx="5">
                  <c:v>26.9</c:v>
                </c:pt>
                <c:pt idx="6">
                  <c:v>36.5</c:v>
                </c:pt>
                <c:pt idx="7">
                  <c:v>44.2</c:v>
                </c:pt>
                <c:pt idx="8">
                  <c:v>21.3</c:v>
                </c:pt>
              </c:numCache>
            </c:numRef>
          </c:val>
          <c:extLst>
            <c:ext xmlns:c16="http://schemas.microsoft.com/office/drawing/2014/chart" uri="{C3380CC4-5D6E-409C-BE32-E72D297353CC}">
              <c16:uniqueId val="{00000002-AFA1-4E31-82A4-A8967CD0F164}"/>
            </c:ext>
          </c:extLst>
        </c:ser>
        <c:dLbls>
          <c:showLegendKey val="0"/>
          <c:showVal val="0"/>
          <c:showCatName val="0"/>
          <c:showSerName val="0"/>
          <c:showPercent val="0"/>
          <c:showBubbleSize val="0"/>
        </c:dLbls>
        <c:gapWidth val="219"/>
        <c:overlap val="-27"/>
        <c:axId val="-2066065880"/>
        <c:axId val="-2126512120"/>
      </c:barChart>
      <c:catAx>
        <c:axId val="-2066065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Age group</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6512120"/>
        <c:crosses val="autoZero"/>
        <c:auto val="1"/>
        <c:lblAlgn val="ctr"/>
        <c:lblOffset val="100"/>
        <c:noMultiLvlLbl val="0"/>
      </c:catAx>
      <c:valAx>
        <c:axId val="-2126512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6065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Sheet2!$B$1</c:f>
              <c:strCache>
                <c:ptCount val="1"/>
                <c:pt idx="0">
                  <c:v>Percentage of Indigenous language speakers</c:v>
                </c:pt>
              </c:strCache>
            </c:strRef>
          </c:tx>
          <c:spPr>
            <a:solidFill>
              <a:schemeClr val="accent1"/>
            </a:solidFill>
            <a:ln>
              <a:noFill/>
            </a:ln>
            <a:effectLst/>
          </c:spPr>
          <c:invertIfNegative val="0"/>
          <c:cat>
            <c:strRef>
              <c:f>Sheet2!$A$2:$A$13</c:f>
              <c:strCache>
                <c:ptCount val="12"/>
                <c:pt idx="0">
                  <c:v>Kriol </c:v>
                </c:pt>
                <c:pt idx="1">
                  <c:v>Yumplatok (Torres Strait Creole) </c:v>
                </c:pt>
                <c:pt idx="2">
                  <c:v>Djambarrpuyngu </c:v>
                </c:pt>
                <c:pt idx="3">
                  <c:v>Pitjantjatjara </c:v>
                </c:pt>
                <c:pt idx="4">
                  <c:v>Warlpiri </c:v>
                </c:pt>
                <c:pt idx="5">
                  <c:v>Tiwi </c:v>
                </c:pt>
                <c:pt idx="6">
                  <c:v>Murrinh Patha </c:v>
                </c:pt>
                <c:pt idx="7">
                  <c:v>Kunwinjku </c:v>
                </c:pt>
                <c:pt idx="8">
                  <c:v>Alyawarr </c:v>
                </c:pt>
                <c:pt idx="9">
                  <c:v>Anindilyakwa </c:v>
                </c:pt>
                <c:pt idx="10">
                  <c:v>Ngaanyatjarra </c:v>
                </c:pt>
                <c:pt idx="11">
                  <c:v>Burarra </c:v>
                </c:pt>
              </c:strCache>
            </c:strRef>
          </c:cat>
          <c:val>
            <c:numRef>
              <c:f>Sheet2!$B$2:$B$13</c:f>
              <c:numCache>
                <c:formatCode>General</c:formatCode>
                <c:ptCount val="12"/>
                <c:pt idx="0">
                  <c:v>11.1</c:v>
                </c:pt>
                <c:pt idx="1">
                  <c:v>9.4</c:v>
                </c:pt>
                <c:pt idx="2">
                  <c:v>6.7</c:v>
                </c:pt>
                <c:pt idx="3">
                  <c:v>4.8</c:v>
                </c:pt>
                <c:pt idx="4">
                  <c:v>3.6</c:v>
                </c:pt>
                <c:pt idx="5">
                  <c:v>3.2</c:v>
                </c:pt>
                <c:pt idx="6">
                  <c:v>3.1</c:v>
                </c:pt>
                <c:pt idx="7">
                  <c:v>2.7</c:v>
                </c:pt>
                <c:pt idx="8">
                  <c:v>2.4</c:v>
                </c:pt>
                <c:pt idx="9">
                  <c:v>2.2999999999999998</c:v>
                </c:pt>
                <c:pt idx="10">
                  <c:v>1.7</c:v>
                </c:pt>
                <c:pt idx="11">
                  <c:v>1.6</c:v>
                </c:pt>
              </c:numCache>
            </c:numRef>
          </c:val>
          <c:extLst>
            <c:ext xmlns:c16="http://schemas.microsoft.com/office/drawing/2014/chart" uri="{C3380CC4-5D6E-409C-BE32-E72D297353CC}">
              <c16:uniqueId val="{00000000-5A62-470E-A349-AD65401DAF42}"/>
            </c:ext>
          </c:extLst>
        </c:ser>
        <c:dLbls>
          <c:showLegendKey val="0"/>
          <c:showVal val="0"/>
          <c:showCatName val="0"/>
          <c:showSerName val="0"/>
          <c:showPercent val="0"/>
          <c:showBubbleSize val="0"/>
        </c:dLbls>
        <c:gapWidth val="182"/>
        <c:axId val="-2067780232"/>
        <c:axId val="-2064344296"/>
      </c:barChart>
      <c:catAx>
        <c:axId val="-2067780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effectLst/>
                <a:latin typeface="+mn-lt"/>
                <a:ea typeface="+mn-ea"/>
                <a:cs typeface="+mn-cs"/>
              </a:defRPr>
            </a:pPr>
            <a:endParaRPr lang="en-US"/>
          </a:p>
        </c:txPr>
        <c:crossAx val="-2064344296"/>
        <c:crosses val="autoZero"/>
        <c:auto val="1"/>
        <c:lblAlgn val="ctr"/>
        <c:lblOffset val="100"/>
        <c:noMultiLvlLbl val="0"/>
      </c:catAx>
      <c:valAx>
        <c:axId val="-20643442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effectLst/>
                <a:latin typeface="+mn-lt"/>
                <a:ea typeface="+mn-ea"/>
                <a:cs typeface="+mn-cs"/>
              </a:defRPr>
            </a:pPr>
            <a:endParaRPr lang="en-US"/>
          </a:p>
        </c:txPr>
        <c:crossAx val="-2067780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effectLst/>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accent1"/>
      </a:solidFill>
      <a:round/>
    </a:ln>
    <a:effectLst/>
  </c:spPr>
  <c:txPr>
    <a:bodyPr/>
    <a:lstStyle/>
    <a:p>
      <a:pPr>
        <a:defRPr>
          <a:effectLst/>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ECD-Light Blue (Default)">
      <a:dk1>
        <a:sysClr val="windowText" lastClr="000000"/>
      </a:dk1>
      <a:lt1>
        <a:sysClr val="window" lastClr="FFFFFF"/>
      </a:lt1>
      <a:dk2>
        <a:srgbClr val="3F3F3F"/>
      </a:dk2>
      <a:lt2>
        <a:srgbClr val="EEECE1"/>
      </a:lt2>
      <a:accent1>
        <a:srgbClr val="4E81BD"/>
      </a:accent1>
      <a:accent2>
        <a:srgbClr val="FFFFFF"/>
      </a:accent2>
      <a:accent3>
        <a:srgbClr val="EEECE1"/>
      </a:accent3>
      <a:accent4>
        <a:srgbClr val="448114"/>
      </a:accent4>
      <a:accent5>
        <a:srgbClr val="4E81BD"/>
      </a:accent5>
      <a:accent6>
        <a:srgbClr val="F79646"/>
      </a:accent6>
      <a:hlink>
        <a:srgbClr val="0000FF"/>
      </a:hlink>
      <a:folHlink>
        <a:srgbClr val="800080"/>
      </a:folHlink>
    </a:clrScheme>
    <a:fontScheme name="OECD-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oecd-en.xsl" StyleName="OECD English" Version="20180904">
  <b:Source>
    <b:Tag>The18</b:Tag>
    <b:SourceType>Report</b:SourceType>
    <b:Guid>{60E45D8E-56D3-41EC-B661-A9F5008E925C}</b:Guid>
    <b:Author>
      <b:Author>
        <b:Corporate>The United Nations Permanent Forum on Indigenous Issues</b:Corporate>
      </b:Author>
    </b:Author>
    <b:Title>Indigenous languages (Backgrounder)</b:Title>
    <b:Year>2018</b:Year>
    <b:Publisher>UN Department of Public Information</b:Publisher>
    <b:YearAccessed>2021</b:YearAccessed>
    <b:MonthAccessed>09</b:MonthAccessed>
    <b:DayAccessed>24</b:DayAccessed>
    <b:URL>https://www.un.org/development/desa/indigenouspeoples/wp-content/uploads/sites/19/2018/04/Indigenous-Languages.pdf</b:URL>
    <b:RefOrder>1</b:RefOrder>
  </b:Source>
  <b:Source>
    <b:Tag>UNE03</b:Tag>
    <b:SourceType>Report</b:SourceType>
    <b:Guid>{B9DB2D62-AB91-439F-90C4-0BDF58F867F0}</b:Guid>
    <b:Author>
      <b:Author>
        <b:Corporate>UNESCO</b:Corporate>
      </b:Author>
    </b:Author>
    <b:Title>Language Vitality and Endangerment</b:Title>
    <b:Year>2003</b:Year>
    <b:Publisher>UNESCO Ad Hoc Expert Group on Endangered Languages, Paris</b:Publisher>
    <b:YearAccessed>2021</b:YearAccessed>
    <b:MonthAccessed>09</b:MonthAccessed>
    <b:DayAccessed>24</b:DayAccessed>
    <b:URL>http://www.unesco.org/new/fileadmin/MULTIMEDIA/HQ/CLT/pdf/Language_vitality_and_endangerment_EN.pdf</b:URL>
    <b:RefOrder>2</b:RefOrder>
  </b:Source>
  <b:Source>
    <b:Tag>Hut17</b:Tag>
    <b:SourceType>Report</b:SourceType>
    <b:Guid>{7DB691C7-60D0-4AD8-A130-1E9136940EE2}</b:Guid>
    <b:Author>
      <b:Author>
        <b:NameList>
          <b:Person>
            <b:Last>Hutchings</b:Last>
            <b:First>J.</b:First>
            <b:Middle>et al</b:Middle>
          </b:Person>
        </b:NameList>
      </b:Author>
    </b:Author>
    <b:Title>Te Ahu o te Reo - Te reo Maori in homes and communities. Overview report. He Tirohanga Whanui</b:Title>
    <b:Year>2017</b:Year>
    <b:Publisher>New Zealand Council for Educational Research/Victoria University of Wellington, Wellington</b:Publisher>
    <b:RefOrder>3</b:RefOrder>
  </b:Source>
  <b:Source>
    <b:Tag>Kee17</b:Tag>
    <b:SourceType>JournalArticle</b:SourceType>
    <b:Guid>{18FE2F4F-BCE2-4CEC-BFD8-86A5B535D8CF}</b:Guid>
    <b:Title>Māori dialect issues and Māori language ideologies in the revitalisation era</b:Title>
    <b:Year>2017</b:Year>
    <b:Author>
      <b:Author>
        <b:NameList>
          <b:Person>
            <b:Last>Keegan</b:Last>
            <b:First>P.</b:First>
            <b:Middle>J.</b:Middle>
          </b:Person>
        </b:NameList>
      </b:Author>
    </b:Author>
    <b:JournalName>MAI Journal</b:JournalName>
    <b:Volume>6</b:Volume>
    <b:Issue>2</b:Issue>
    <b:DOI>https://doi.org/10.20507/MAIJournal.2017.6.2.3</b:DOI>
    <b:YearAccessed>2021</b:YearAccessed>
    <b:MonthAccessed>09</b:MonthAccessed>
    <b:DayAccessed>24</b:DayAccessed>
    <b:RefOrder>4</b:RefOrder>
  </b:Source>
  <b:Source>
    <b:Tag>Min16</b:Tag>
    <b:SourceType>Report</b:SourceType>
    <b:Guid>{8ACA74D7-F825-4F25-B82D-9B66680220DE}</b:Guid>
    <b:Author>
      <b:Author>
        <b:Corporate>Ministry of Social Development</b:Corporate>
      </b:Author>
    </b:Author>
    <b:Title>The Social Report 2016 - Te purongo oranga tangata</b:Title>
    <b:Year>2016</b:Year>
    <b:URL>https://socialreport.msd.govt.nz/</b:URL>
    <b:Publisher>Government of New Zealand, Wellington</b:Publisher>
    <b:YearAccessed>2021</b:YearAccessed>
    <b:MonthAccessed>09</b:MonthAccessed>
    <b:DayAccessed>24</b:DayAccessed>
    <b:RefOrder>5</b:RefOrder>
  </b:Source>
  <b:Source>
    <b:Tag>OSh05</b:Tag>
    <b:SourceType>JournalArticle</b:SourceType>
    <b:Guid>{375A3DBA-88C3-400C-B26A-99F26D2B4496}</b:Guid>
    <b:Author>
      <b:Author>
        <b:NameList>
          <b:Person>
            <b:Last>O'Shannessy</b:Last>
            <b:First>C.</b:First>
          </b:Person>
        </b:NameList>
      </b:Author>
    </b:Author>
    <b:Title>Light Warlpiri: A new language</b:Title>
    <b:Year>2005</b:Year>
    <b:JournalName>Australian Journal of Linguistics</b:JournalName>
    <b:Pages>31-57</b:Pages>
    <b:Volume>25</b:Volume>
    <b:RefOrder>6</b:RefOrder>
  </b:Source>
  <b:Source>
    <b:Tag>Mea07</b:Tag>
    <b:SourceType>Book</b:SourceType>
    <b:Guid>{593212D3-68BA-406D-BC81-A81F1B3041E0}</b:Guid>
    <b:Author>
      <b:Author>
        <b:NameList>
          <b:Person>
            <b:Last>Meakins</b:Last>
            <b:First>F.</b:First>
          </b:Person>
        </b:NameList>
      </b:Author>
    </b:Author>
    <b:Title>Case marking in contact: The development and function of case morphology of Gurindji Kriol (Creole Language Library)</b:Title>
    <b:Year>2007</b:Year>
    <b:Publisher>John Benjamins, Amsterdam/Philadelphia</b:Publisher>
    <b:RefOrder>7</b:RefOrder>
  </b:Source>
  <b:Source>
    <b:Tag>Dis08</b:Tag>
    <b:SourceType>Report</b:SourceType>
    <b:Guid>{488A86A7-20E8-4FED-B9C1-2293C09280C9}</b:Guid>
    <b:Title>More than one way to catch a frog: A study of children's discourse in an Australian contact language (PhD thesis)</b:Title>
    <b:Year>2008</b:Year>
    <b:Publisher>Department of Linguistics and Applied Linguistics, University of Melbourne</b:Publisher>
    <b:Author>
      <b:Author>
        <b:NameList>
          <b:Person>
            <b:Last>Disbray</b:Last>
            <b:First>S.</b:First>
          </b:Person>
        </b:NameList>
      </b:Author>
    </b:Author>
    <b:RefOrder>8</b:RefOrder>
  </b:Source>
  <b:Source>
    <b:Tag>Mun16</b:Tag>
    <b:SourceType>JournalArticle</b:SourceType>
    <b:Guid>{6667C687-418A-4B65-AF17-BF7B58B1CE1E}</b:Guid>
    <b:Author>
      <b:Author>
        <b:NameList>
          <b:Person>
            <b:Last>Munro</b:Last>
            <b:First>J.</b:First>
            <b:Middle>M.</b:Middle>
          </b:Person>
          <b:Person>
            <b:Last>Mushin</b:Last>
            <b:First>I.</b:First>
          </b:Person>
        </b:NameList>
      </b:Author>
    </b:Author>
    <b:Title>Rethinking Australian Aboriginal English-based speech varieties: Evidence from Woorabinda</b:Title>
    <b:JournalName>Journal of Pidgin and Creole Languages</b:JournalName>
    <b:Year>2016</b:Year>
    <b:Volume>31</b:Volume>
    <b:RefOrder>9</b:RefOrder>
  </b:Source>
  <b:Source>
    <b:Tag>Mit16</b:Tag>
    <b:SourceType>Report</b:SourceType>
    <b:Guid>{0968A461-9DAC-4A89-BA72-F5CB6197F639}</b:Guid>
    <b:Title>A linguistic description of Lockhart River Creole (PhD thesis)</b:Title>
    <b:Year>2016</b:Year>
    <b:Author>
      <b:Author>
        <b:NameList>
          <b:Person>
            <b:Last>Mittag</b:Last>
            <b:First>J.</b:First>
          </b:Person>
        </b:NameList>
      </b:Author>
    </b:Author>
    <b:Publisher>School of Behavioural, Cognitive and Social Sciences, University of New England, Armidale NSW</b:Publisher>
    <b:RefOrder>10</b:RefOrder>
  </b:Source>
  <b:Source>
    <b:Tag>Dix17</b:Tag>
    <b:SourceType>Report</b:SourceType>
    <b:Guid>{FAD2B534-E93D-4F59-A37E-DB42041CD531}</b:Guid>
    <b:Title>Alyawarr children's variable present temporal reference expression in two, closely-related languages of Central Australia (PhD thesis)</b:Title>
    <b:Year>2017</b:Year>
    <b:Author>
      <b:Author>
        <b:NameList>
          <b:Person>
            <b:Last>Dixon</b:Last>
            <b:First>S.</b:First>
          </b:Person>
        </b:NameList>
      </b:Author>
    </b:Author>
    <b:Publisher>School of Literature, Languages and Linguitics, The Australian National University, Canberra</b:Publisher>
    <b:RefOrder>11</b:RefOrder>
  </b:Source>
  <b:Source>
    <b:Tag>Aus162</b:Tag>
    <b:SourceType>Report</b:SourceType>
    <b:Guid>{198C75C5-15D9-4A28-9FC8-94F39A7B531D}</b:Guid>
    <b:Author>
      <b:Author>
        <b:Corporate>Australian Bureau of Statistics</b:Corporate>
      </b:Author>
    </b:Author>
    <b:Title>Australian Standard Classification of Languages (ASCL) - 1267.0</b:Title>
    <b:Year>2016</b:Year>
    <b:RefOrder>12</b:RefOrder>
  </b:Source>
  <b:Source>
    <b:Tag>Mar14</b:Tag>
    <b:SourceType>Report</b:SourceType>
    <b:Guid>{8BF6AFD6-3891-48E8-8E16-22F812BA66D2}</b:Guid>
    <b:Author>
      <b:Author>
        <b:NameList>
          <b:Person>
            <b:Last>Marnmion</b:Last>
            <b:First>D.</b:First>
          </b:Person>
          <b:Person>
            <b:Last>Obata</b:Last>
            <b:First>K.</b:First>
          </b:Person>
          <b:Person>
            <b:Last>Troy</b:Last>
            <b:First>J.</b:First>
          </b:Person>
        </b:NameList>
      </b:Author>
    </b:Author>
    <b:Title>Community, identity, well-being: The report of the second national Indigenous languages survey</b:Title>
    <b:Year>2014</b:Year>
    <b:Publisher>Australian Institute for Aboriginal and Torres Strait Islander Studies, Canberra</b:Publisher>
    <b:RefOrder>13</b:RefOrder>
  </b:Source>
  <b:Source>
    <b:Tag>Sim19</b:Tag>
    <b:SourceType>JournalArticle</b:SourceType>
    <b:Guid>{B6B87B58-609B-4D2B-8A52-622C419FDF7C}</b:Guid>
    <b:Title>The state of Australia's Indigenous languages – and how we can help people speak them more often</b:Title>
    <b:Year>2019</b:Year>
    <b:Author>
      <b:Author>
        <b:NameList>
          <b:Person>
            <b:Last>Simpson</b:Last>
            <b:First>J.</b:First>
          </b:Person>
        </b:NameList>
      </b:Author>
    </b:Author>
    <b:JournalName>The Conversation</b:JournalName>
    <b:URL>https://theconversation.com/the-state-of-australias-indigenous-languages-and-how-we-can-help-people-speak-them-more-often-109662</b:URL>
    <b:YearAccessed>2021</b:YearAccessed>
    <b:MonthAccessed>09</b:MonthAccessed>
    <b:DayAccessed>24</b:DayAccessed>
    <b:RefOrder>14</b:RefOrder>
  </b:Source>
  <b:Source>
    <b:Tag>Aus191</b:Tag>
    <b:SourceType>Report</b:SourceType>
    <b:Guid>{CF71555B-04AC-4448-8B07-30A2B4D36C64}</b:Guid>
    <b:Title>Census of Population and Housing: Characteristics of Aboriginal and Torres Strait Islander Australians, 2016 - 2076.0: Main language spoken at home and English proficiency</b:Title>
    <b:Year>2019</b:Year>
    <b:URL>https://www.abs.gov.au/Ausstats/abs@.nsf/7d12b0f6763c78caca257061001cc588/656ea6473a7580bbca258236000c30f7!OpenDocument</b:URL>
    <b:Author>
      <b:Author>
        <b:Corporate>Australian Bureau of Statistics</b:Corporate>
      </b:Author>
    </b:Author>
    <b:YearAccessed>2021</b:YearAccessed>
    <b:MonthAccessed>09</b:MonthAccessed>
    <b:DayAccessed>24</b:DayAccessed>
    <b:RefOrder>15</b:RefOrder>
  </b:Source>
  <b:Source>
    <b:Tag>Sch90</b:Tag>
    <b:SourceType>Book</b:SourceType>
    <b:Guid>{B94C0711-6D19-488B-AC9E-9A480C9BEFAC}</b:Guid>
    <b:Title>The loss of Australia's Aboriginal language heritage</b:Title>
    <b:Year>1990</b:Year>
    <b:Author>
      <b:Author>
        <b:NameList>
          <b:Person>
            <b:Last>Schmidt</b:Last>
            <b:First>A.</b:First>
          </b:Person>
        </b:NameList>
      </b:Author>
    </b:Author>
    <b:Publisher>Aboriginal Studies Press, Canberra</b:Publisher>
    <b:RefOrder>16</b:RefOrder>
  </b:Source>
  <b:Source>
    <b:Tag>COm97</b:Tag>
    <b:SourceType>Report</b:SourceType>
    <b:Guid>{FF03DBF4-C8DA-419E-9B74-946ABD4143FD}</b:Guid>
    <b:Author>
      <b:Author>
        <b:Corporate>Human Rights and Equal Opportunity Commission</b:Corporate>
      </b:Author>
    </b:Author>
    <b:Title>Bringing them home: Report of the National Inquiry into the Separation of Aboriginal and Torres Strait Islander Children from their Families</b:Title>
    <b:Year>1997</b:Year>
    <b:Publisher>HREOC, Sydney</b:Publisher>
    <b:YearAccessed>2021</b:YearAccessed>
    <b:MonthAccessed>09</b:MonthAccessed>
    <b:DayAccessed>24</b:DayAccessed>
    <b:URL>https://humanrights.gov.au/sites/default/files/content/pdf/social_justice/bringing_them_home_report.pdf</b:URL>
    <b:RefOrder>20</b:RefOrder>
  </b:Source>
  <b:Source>
    <b:Tag>Rud08</b:Tag>
    <b:SourceType>Report</b:SourceType>
    <b:Guid>{5DC9948E-E2E9-4752-8627-EDEBF02BB693}</b:Guid>
    <b:Author>
      <b:Author>
        <b:NameList>
          <b:Person>
            <b:Last>Rudd</b:Last>
            <b:First>K.</b:First>
          </b:Person>
        </b:NameList>
      </b:Author>
    </b:Author>
    <b:Title>Apology to Australia's Indigenous peoples</b:Title>
    <b:Year>2008</b:Year>
    <b:Publisher>Parliament of Australia, Canberra</b:Publisher>
    <b:YearAccessed>2021</b:YearAccessed>
    <b:MonthAccessed>09</b:MonthAccessed>
    <b:DayAccessed>24</b:DayAccessed>
    <b:URL>https://parlinfo.aph.gov.au/parlInfo/genpdf/chamber/hansardr/2008-02-13/0003/hansard_frag.pdf;fileType=application/pdf</b:URL>
    <b:RefOrder>21</b:RefOrder>
  </b:Source>
  <b:Source>
    <b:Tag>Net19</b:Tag>
    <b:SourceType>Report</b:SourceType>
    <b:Guid>{552ECB32-644D-4443-85E2-C056FD822863}</b:Guid>
    <b:Author>
      <b:Author>
        <b:Corporate>NetNewsLedger</b:Corporate>
      </b:Author>
    </b:Author>
    <b:Title>AFN National Chief – Address to United Nations General Assembly</b:Title>
    <b:Year>2019</b:Year>
    <b:YearAccessed>2021</b:YearAccessed>
    <b:MonthAccessed>09</b:MonthAccessed>
    <b:DayAccessed>24</b:DayAccessed>
    <b:URL>https://www.netnewsledger.com/2019/12/18/afn-national-chief-address-to-united-nations-general-assembly/</b:URL>
    <b:RefOrder>23</b:RefOrder>
  </b:Source>
  <b:Source>
    <b:Tag>Aus163</b:Tag>
    <b:SourceType>Report</b:SourceType>
    <b:Guid>{BC2EC9B9-2794-4FDA-810F-043D9C699584}</b:Guid>
    <b:Author>
      <b:Author>
        <b:Corporate>Australian Curriculum Assessment and Reporting Authority</b:Corporate>
      </b:Author>
    </b:Author>
    <b:Title>Framework for Aboriginal languages and Torres Strait Islander languages</b:Title>
    <b:Year>2016</b:Year>
    <b:URL>https://www.australiancurriculum.edu.au/f-10-curriculum/languages/framework-for-aboriginal-languages-and-torres-strait-islander-languages/</b:URL>
    <b:YearAccessed>2021</b:YearAccessed>
    <b:MonthAccessed>09</b:MonthAccessed>
    <b:DayAccessed>24</b:DayAccessed>
    <b:RefOrder>25</b:RefOrder>
  </b:Source>
  <b:Source>
    <b:Tag>Rau11</b:Tag>
    <b:SourceType>JournalArticle</b:SourceType>
    <b:Guid>{ACF71958-BDF8-49E9-8F8D-0A128FF4B385}</b:Guid>
    <b:Author>
      <b:Author>
        <b:NameList>
          <b:Person>
            <b:Last>Rau</b:Last>
            <b:First>C.</b:First>
          </b:Person>
          <b:Person>
            <b:Last>Ritchie</b:Last>
            <b:First>J.</b:First>
          </b:Person>
        </b:NameList>
      </b:Author>
    </b:Author>
    <b:Title>Ahakoaheiti: Early childhood pedagogies: Affirming of Māori children's rights to Their culture</b:Title>
    <b:Year>2011</b:Year>
    <b:JournalName>Ear;y Education and Development</b:JournalName>
    <b:Volume>22</b:Volume>
    <b:RefOrder>26</b:RefOrder>
  </b:Source>
  <b:Source>
    <b:Tag>Ste16</b:Tag>
    <b:SourceType>JournalArticle</b:SourceType>
    <b:Guid>{389290C8-1687-418E-A076-1785E59BA30A}</b:Guid>
    <b:Author>
      <b:Author>
        <b:NameList>
          <b:Person>
            <b:Last>Sterzuk</b:Last>
            <b:First>A.</b:First>
          </b:Person>
          <b:Person>
            <b:Last>Fayant</b:Last>
            <b:First>R.</b:First>
          </b:Person>
        </b:NameList>
      </b:Author>
    </b:Author>
    <b:Title>Towards reconciliation through language planning for Indigenous languages in Canadian universities</b:Title>
    <b:JournalName>Current Issues in Language Planning</b:JournalName>
    <b:Year>2016</b:Year>
    <b:Pages>332-350</b:Pages>
    <b:Volume>17</b:Volume>
    <b:RefOrder>27</b:RefOrder>
  </b:Source>
  <b:Source>
    <b:Tag>McI09</b:Tag>
    <b:SourceType>JournalArticle</b:SourceType>
    <b:Guid>{55DD498C-E051-434C-9DCF-714FA37F8624}</b:Guid>
    <b:Author>
      <b:Author>
        <b:NameList>
          <b:Person>
            <b:Last>McIvor</b:Last>
            <b:First>O.</b:First>
          </b:Person>
          <b:Person>
            <b:Last>Napoleon</b:Last>
            <b:First>A.</b:First>
          </b:Person>
          <b:Person>
            <b:Last>Dickie</b:Last>
            <b:First>K.</b:First>
            <b:Middle>M.</b:Middle>
          </b:Person>
        </b:NameList>
      </b:Author>
    </b:Author>
    <b:Title>Language and culture as protective factors for at risk communities</b:Title>
    <b:Year>2009</b:Year>
    <b:Volume>5</b:Volume>
    <b:JournalName>Journal of Aboriginal Health</b:JournalName>
    <b:Issue>1</b:Issue>
    <b:RefOrder>29</b:RefOrder>
  </b:Source>
  <b:Source>
    <b:Tag>Cle15</b:Tag>
    <b:SourceType>JournalArticle</b:SourceType>
    <b:Guid>{D60EBF3B-53A3-499C-B594-4D18777D0331}</b:Guid>
    <b:Author>
      <b:Author>
        <b:NameList>
          <b:Person>
            <b:Last>Clements</b:Last>
            <b:First>A.</b:First>
          </b:Person>
        </b:NameList>
      </b:Author>
    </b:Author>
    <b:Title>Māori Waiata (Music): Re-Writing and Re-Righting the Indigenous Experience</b:Title>
    <b:Year>2015</b:Year>
    <b:Volume>1</b:Volume>
    <b:JournalName>Other Ways of Knowing</b:JournalName>
    <b:RefOrder>31</b:RefOrder>
  </b:Source>
  <b:Source>
    <b:Tag>Bra17</b:Tag>
    <b:SourceType>BookSection</b:SourceType>
    <b:Guid>{482F54DA-D66E-4579-99D6-22CA645D3349}</b:Guid>
    <b:Title>Maaya Waab (Playing with Sound): Nyungar Song Language and Spoken Language in the South-West of Western Australia</b:Title>
    <b:Year>2017</b:Year>
    <b:Pages>45-57</b:Pages>
    <b:Author>
      <b:Author>
        <b:NameList>
          <b:Person>
            <b:Last>Bracknell</b:Last>
            <b:First>C.</b:First>
          </b:Person>
        </b:NameList>
      </b:Author>
      <b:Editor>
        <b:NameList>
          <b:Person>
            <b:Last>Wafer</b:Last>
            <b:First>J.</b:First>
          </b:Person>
          <b:Person>
            <b:Last>Turpin</b:Last>
            <b:First>M.</b:First>
          </b:Person>
        </b:NameList>
      </b:Editor>
    </b:Author>
    <b:BookTitle>Recirculating Songs: Revitalising the Singing Practices of Indigenous Australia</b:BookTitle>
    <b:Publisher>Asia-Pacific Linguistics, Canberra</b:Publisher>
    <b:Medium>Book chapter</b:Medium>
    <b:RefOrder>32</b:RefOrder>
  </b:Source>
  <b:Source>
    <b:Tag>Tat15</b:Tag>
    <b:SourceType>Book</b:SourceType>
    <b:Guid>{09495919-F372-4495-BEF4-76ECBA6C9DEB}</b:Guid>
    <b:Author>
      <b:Author>
        <b:NameList>
          <b:Person>
            <b:Last>Tatti</b:Last>
            <b:First>F.</b:First>
          </b:Person>
        </b:NameList>
      </b:Author>
    </b:Author>
    <b:Title>The wind waits for no one: Nı̨ hts'ı Dene Ası̨ ́ Henáoréhɂı̨ ́le Ǫt'e: Spirituality in a Sahtúgot'ı̨ nę perspective (MA Thesis)</b:Title>
    <b:Year>2015</b:Year>
    <b:Publisher>Indigenous Education with the Department of Linguistics, University of Victoria, Victoria BC</b:Publisher>
    <b:RefOrder>34</b:RefOrder>
  </b:Source>
  <b:Source>
    <b:Tag>Ban79</b:Tag>
    <b:SourceType>Book</b:SourceType>
    <b:Guid>{A8B80903-18FF-4860-80A1-A5C9044FBD00}</b:Guid>
    <b:Title>Importance of Torres Strait Islander Singing and Dancing</b:Title>
    <b:Year>1979</b:Year>
    <b:Publisher>Canberra</b:Publisher>
    <b:Author>
      <b:Author>
        <b:NameList>
          <b:Person>
            <b:Last>Bani</b:Last>
            <b:First>E.</b:First>
          </b:Person>
        </b:NameList>
      </b:Author>
    </b:Author>
    <b:RefOrder>35</b:RefOrder>
  </b:Source>
  <b:Source>
    <b:Tag>Gre10</b:Tag>
    <b:SourceType>Report</b:SourceType>
    <b:Guid>{FD437E44-DA2C-4748-A758-A6D225C373C5}</b:Guid>
    <b:Title>Between the earth and the air: Multimodality in Arandic Sand Stories (Thesis)</b:Title>
    <b:Year>2010</b:Year>
    <b:Publisher>School of Languages and Linguistis, University of Melbourne</b:Publisher>
    <b:Author>
      <b:Author>
        <b:NameList>
          <b:Person>
            <b:Last>Green</b:Last>
            <b:First>J.</b:First>
          </b:Person>
        </b:NameList>
      </b:Author>
    </b:Author>
    <b:RefOrder>36</b:RefOrder>
  </b:Source>
  <b:Source>
    <b:Tag>Vicnd</b:Tag>
    <b:SourceType>ElectronicSource</b:SourceType>
    <b:Guid>{86AEBCF4-BF81-42F6-9D67-2BE6FC5AA9DE}</b:Guid>
    <b:Year>n.d.</b:Year>
    <b:Author>
      <b:Author>
        <b:Corporate>Victorian Aboriginal Corporation for Languages</b:Corporate>
      </b:Author>
    </b:Author>
    <b:YearAccessed>2021</b:YearAccessed>
    <b:MonthAccessed>09</b:MonthAccessed>
    <b:DayAccessed>24</b:DayAccessed>
    <b:URL>http://www.vaclang.org.au/home</b:URL>
    <b:RefOrder>37</b:RefOrder>
  </b:Source>
  <b:Source>
    <b:Tag>Gov08</b:Tag>
    <b:SourceType>Report</b:SourceType>
    <b:Guid>{8BB3A636-E1ED-4FB4-8ADA-485DFB71A74C}</b:Guid>
    <b:Title>Inuit language protection act</b:Title>
    <b:Year>2008</b:Year>
    <b:Author>
      <b:Author>
        <b:Corporate>Government of Nunavut</b:Corporate>
      </b:Author>
    </b:Author>
    <b:Publisher>Canadian Legal Information Institute</b:Publisher>
    <b:YearAccessed>2021</b:YearAccessed>
    <b:MonthAccessed>09</b:MonthAccessed>
    <b:DayAccessed>24</b:DayAccessed>
    <b:URL>https://www.canlii.org/en/nu/laws/stat/snu-2008-c-17/136297/snu-2008-c-17.html</b:URL>
    <b:RefOrder>38</b:RefOrder>
  </b:Source>
  <b:Source>
    <b:Tag>Dut19</b:Tag>
    <b:SourceType>ElectronicSource</b:SourceType>
    <b:Guid>{01C4A1BB-2577-4EB0-900B-515BDEBE4DC0}</b:Guid>
    <b:Title>Jeremy Dutcher discusses revitalizing traditional language and making music with Shelagh Rogers, Live from Pacific Opera Victoria's Baumann Center (transcribed by Barbra Meeks)</b:Title>
    <b:Year>2019</b:Year>
    <b:Medium>Video</b:Medium>
    <b:Author>
      <b:Author>
        <b:NameList>
          <b:Person>
            <b:Last>Dutcher</b:Last>
            <b:First>J.</b:First>
          </b:Person>
        </b:NameList>
      </b:Author>
    </b:Author>
    <b:URL>https://www.youtube.com/watch?v=-PUK4M8Hv_g</b:URL>
    <b:RefOrder>39</b:RefOrder>
  </b:Source>
  <b:Source>
    <b:Tag>Dic16</b:Tag>
    <b:SourceType>JournalArticle</b:SourceType>
    <b:Guid>{5527FEB1-4679-4B47-8508-42252C7F3F7C}</b:Guid>
    <b:Title>The largest language spoke exclusively in Australia</b:Title>
    <b:Year>2016</b:Year>
    <b:YearAccessed>2021</b:YearAccessed>
    <b:MonthAccessed>09</b:MonthAccessed>
    <b:DayAccessed>24</b:DayAccessed>
    <b:URL>https://theconversation.com/explainer-the-largest-language-spoken-exclusively-in-australia-kriol-56286</b:URL>
    <b:Author>
      <b:Author>
        <b:NameList>
          <b:Person>
            <b:Last>Dickson</b:Last>
            <b:First>G.</b:First>
          </b:Person>
        </b:NameList>
      </b:Author>
    </b:Author>
    <b:JournalName>The Conversation</b:JournalName>
    <b:Month>26</b:Month>
    <b:Day>04</b:Day>
    <b:RefOrder>40</b:RefOrder>
  </b:Source>
  <b:Source>
    <b:Tag>Fay</b:Tag>
    <b:SourceType>JournalArticle</b:SourceType>
    <b:Guid>{EBF7AE73-BF89-4E12-A57D-C86A8DAE7204}</b:Guid>
    <b:Author>
      <b:Author>
        <b:NameList>
          <b:Person>
            <b:Last>Fayant</b:Last>
            <b:First>R.</b:First>
          </b:Person>
          <b:Person>
            <b:Last>Sterzuk</b:Last>
            <b:First>A.</b:First>
          </b:Person>
        </b:NameList>
      </b:Author>
    </b:Author>
    <b:Title>Michif language revitalization within a post-secondary context</b:Title>
    <b:JournalName>Canadian Diversity</b:JournalName>
    <b:Pages>18-22</b:Pages>
    <b:Volume>15</b:Volume>
    <b:Year>2018</b:Year>
    <b:RefOrder>41</b:RefOrder>
  </b:Source>
  <b:Source>
    <b:Tag>Ste161</b:Tag>
    <b:SourceType>JournalArticle</b:SourceType>
    <b:Guid>{A894EA9E-DA45-4D6C-9D6D-5DC981E706CC}</b:Guid>
    <b:Author>
      <b:Author>
        <b:NameList>
          <b:Person>
            <b:Last>Sterzuk</b:Last>
            <b:First>A.</b:First>
          </b:Person>
          <b:Person>
            <b:Last>Fayant</b:Last>
            <b:First>R.</b:First>
          </b:Person>
        </b:NameList>
      </b:Author>
    </b:Author>
    <b:Title>Towards reconciliation through language planning for Indigenous languages in Canadian universities</b:Title>
    <b:JournalName>Current Issues in Language Planning</b:JournalName>
    <b:Year>2016</b:Year>
    <b:Pages>332-350</b:Pages>
    <b:Volume>17</b:Volume>
    <b:RefOrder>42</b:RefOrder>
  </b:Source>
  <b:Source>
    <b:Tag>Pon20</b:Tag>
    <b:SourceType>JournalArticle</b:SourceType>
    <b:Guid>{1FC8B5BE-01D1-4AA8-9C94-DF5670294FEE}</b:Guid>
    <b:Author>
      <b:Author>
        <b:NameList>
          <b:Person>
            <b:Last>Ponsonnet</b:Last>
            <b:First>M.</b:First>
          </b:Person>
        </b:NameList>
      </b:Author>
    </b:Author>
    <b:Title>Indigenous languages matter – but all is not lost when they change or even disappear</b:Title>
    <b:JournalName>The Conversation</b:JournalName>
    <b:Year>2020</b:Year>
    <b:URL>https://theconversation.com/indigenous-languages-matter-but-all-is-not-lost-when-they-change-or-even-disappear-127519</b:URL>
    <b:YearAccessed>2021</b:YearAccessed>
    <b:MonthAccessed>09</b:MonthAccessed>
    <b:DayAccessed>24</b:DayAccessed>
    <b:RefOrder>43</b:RefOrder>
  </b:Source>
  <b:Source>
    <b:Tag>Hae19</b:Tag>
    <b:SourceType>Report</b:SourceType>
    <b:Guid>{371483B0-2944-4A3D-A1E7-A2FCB9F52523}</b:Guid>
    <b:Title>Whakanuia te reo kia ora - Evaluation of te reo Māori in English-medium compulsory education</b:Title>
    <b:Year>2019</b:Year>
    <b:Publisher>Te Taura Whiri i te reo Māori (Māori Language Commission)</b:Publisher>
    <b:URL>https://www.tetaurawhiri.govt.nz/assets/Research/f0dc677bf5/Whakanuia-Te-Reo-Report.pdf</b:URL>
    <b:Author>
      <b:Author>
        <b:Corporate>Haemata Limited</b:Corporate>
      </b:Author>
    </b:Author>
    <b:YearAccessed>2021</b:YearAccessed>
    <b:MonthAccessed>09</b:MonthAccessed>
    <b:DayAccessed>24</b:DayAccessed>
    <b:RefOrder>44</b:RefOrder>
  </b:Source>
  <b:Source>
    <b:Tag>Hou12</b:Tag>
    <b:SourceType>Report</b:SourceType>
    <b:Guid>{CBFF6A4F-0C61-4D07-ACEA-B996D8F4B750}</b:Guid>
    <b:Author>
      <b:Author>
        <b:Corporate>House of Representatives Standing Committee on Aboriginal and Torres Strait Islander Affairs</b:Corporate>
      </b:Author>
    </b:Author>
    <b:Year>2012</b:Year>
    <b:Title>Our land our languages. Language learning in Indigenous communities</b:Title>
    <b:Publisher>Parliament of the Commonwealth of Australia, Canberra</b:Publisher>
    <b:RefOrder>45</b:RefOrder>
  </b:Source>
  <b:Source>
    <b:Tag>Ang191</b:Tag>
    <b:SourceType>JournalArticle</b:SourceType>
    <b:Guid>{B27291A5-94E6-40BA-A8A6-0614B5185845}</b:Guid>
    <b:Author>
      <b:Author>
        <b:NameList>
          <b:Person>
            <b:Last>Angelo</b:Last>
            <b:First>D.</b:First>
          </b:Person>
          <b:Person>
            <b:Last>Poetsch</b:Last>
            <b:First>S.</b:First>
          </b:Person>
        </b:NameList>
      </b:Author>
    </b:Author>
    <b:Title>From the ground up: How Aboriginal languages teachers design school-based programs in their local language ecology, with Carmel Ryan, Marmingee Hand, Nathan Schrieber and Michael Jarrett</b:Title>
    <b:Year>2019</b:Year>
    <b:Pages>11-20</b:Pages>
    <b:Volume>54</b:Volume>
    <b:JournalName>Babel</b:JournalName>
    <b:RefOrder>46</b:RefOrder>
  </b:Source>
  <b:Source>
    <b:Tag>Les13</b:Tag>
    <b:SourceType>JournalArticle</b:SourceType>
    <b:Guid>{9357517B-3AA8-43C4-AA47-794EA513D74F}</b:Guid>
    <b:Author>
      <b:Author>
        <b:NameList>
          <b:Person>
            <b:Last>Lester</b:Last>
            <b:First>K.</b:First>
            <b:Middle>et al</b:Middle>
          </b:Person>
        </b:NameList>
      </b:Author>
    </b:Author>
    <b:Title>Red Dirt Curriculum: Re-imagining remote education</b:Title>
    <b:JournalName>Sidney Myer Rural Lecture 3</b:JournalName>
    <b:Year>2013</b:Year>
    <b:Publisher>Flinders University, Alice Springs, NT</b:Publisher>
    <b:RefOrder>47</b:RefOrder>
  </b:Source>
  <b:Source>
    <b:Tag>Web17</b:Tag>
    <b:SourceType>ElectronicSource</b:SourceType>
    <b:Guid>{AB3E8ED1-9F40-4AFA-89A6-FB2CC3832F39}</b:Guid>
    <b:Title>Bringing Gumbaynggirr language back to the mob</b:Title>
    <b:Year>2017</b:Year>
    <b:URL>https://www.youtube.com/watch?v=0OnA6re-P_U</b:URL>
    <b:Author>
      <b:Author>
        <b:NameList>
          <b:Person>
            <b:Last>Webb</b:Last>
            <b:First>C.</b:First>
          </b:Person>
        </b:NameList>
      </b:Author>
    </b:Author>
    <b:PublicationTitle>NITV News</b:PublicationTitle>
    <b:Medium>Video</b:Medium>
    <b:YearAccessed>2021</b:YearAccessed>
    <b:MonthAccessed>10</b:MonthAccessed>
    <b:DayAccessed>4</b:DayAccessed>
    <b:RefOrder>48</b:RefOrder>
  </b:Source>
  <b:Source>
    <b:Tag>Mar36</b:Tag>
    <b:SourceType>BookSection</b:SourceType>
    <b:Guid>{C511F08D-6AD3-4F4E-88D1-06B0EC82AB25}</b:Guid>
    <b:Title>Amy Marshall Jarrett</b:Title>
    <b:Year>2003</b:Year>
    <b:YearAccessed>2021</b:YearAccessed>
    <b:MonthAccessed>10</b:MonthAccessed>
    <b:DayAccessed>04</b:DayAccessed>
    <b:URL>https://www.heritage.nsw.gov.au/assets/Uploads/publications/518/aboriginal-womens-heritage-nambucca-060062.pdf</b:URL>
    <b:Publisher>NSW National Parks and Wildlife Service, Hurstville, NSW</b:Publisher>
    <b:Author>
      <b:Author>
        <b:NameList>
          <b:Person>
            <b:Last>Marshall Jarrett</b:Last>
            <b:First>Amy</b:First>
          </b:Person>
        </b:NameList>
      </b:Author>
    </b:Author>
    <b:BookTitle>Aboriginal Women's Heritage: Nambucca</b:BookTitle>
    <b:Medium>Book chapter</b:Medium>
    <b:RefOrder>49</b:RefOrder>
  </b:Source>
  <b:Source>
    <b:Tag>Mor17</b:Tag>
    <b:SourceType>JournalArticle</b:SourceType>
    <b:Guid>{E077775D-5BC5-43BA-A803-A2B541BCAA29}</b:Guid>
    <b:Title>Self-esteem and cultural identity in Aboriginal language immersion kindergarteners</b:Title>
    <b:Year>2017</b:Year>
    <b:Volume>16</b:Volume>
    <b:Author>
      <b:Author>
        <b:NameList>
          <b:Person>
            <b:Last>Morcom</b:Last>
            <b:First>L.</b:First>
            <b:Middle>A.</b:Middle>
          </b:Person>
        </b:NameList>
      </b:Author>
    </b:Author>
    <b:Issue>6</b:Issue>
    <b:RefOrder>50</b:RefOrder>
  </b:Source>
  <b:Source>
    <b:Tag>Ang192</b:Tag>
    <b:SourceType>Report</b:SourceType>
    <b:Guid>{64566731-5482-4DAC-8514-EA3FB2DE857B}</b:Guid>
    <b:Title>Well-being and Indigenous Language Ecologies (WILE): A strengths-based approach. [Literature Review, National Indigenous Languages Report, Pillar 2.</b:Title>
    <b:Year>2019</b:Year>
    <b:Author>
      <b:Author>
        <b:NameList>
          <b:Person>
            <b:Last>Angelo</b:Last>
            <b:First>D.</b:First>
          </b:Person>
          <b:Person>
            <b:Last>O'Shannessy</b:Last>
            <b:First>C.</b:First>
          </b:Person>
          <b:Person>
            <b:Last>Simpson</b:Last>
            <b:First>J.</b:First>
          </b:Person>
          <b:Person>
            <b:Last>Kral</b:Last>
            <b:First>I.</b:First>
          </b:Person>
          <b:Person>
            <b:Last>Smith</b:Last>
            <b:First>H.</b:First>
          </b:Person>
          <b:Person>
            <b:Last>Browne</b:Last>
            <b:First>E.</b:First>
          </b:Person>
        </b:NameList>
      </b:Author>
    </b:Author>
    <b:Publisher>ARC Centre of Excellence for the Dynamics of Language, Australian National University, Canberra</b:Publisher>
    <b:RefOrder>51</b:RefOrder>
  </b:Source>
  <b:Source>
    <b:Tag>Cha98</b:Tag>
    <b:SourceType>JournalArticle</b:SourceType>
    <b:Guid>{59DE913F-E598-4BAC-94F4-250CD798E8A0}</b:Guid>
    <b:Title>Cultural continuity as a hedge against suicide in Canada's First Nations</b:Title>
    <b:Year>1998</b:Year>
    <b:Author>
      <b:Author>
        <b:NameList>
          <b:Person>
            <b:Last>Chandler</b:Last>
            <b:First>M.</b:First>
          </b:Person>
          <b:Person>
            <b:Last>Lalonde</b:Last>
            <b:First>C.</b:First>
          </b:Person>
        </b:NameList>
      </b:Author>
    </b:Author>
    <b:JournalName>Transcultural psychiatry</b:JournalName>
    <b:Volume>35</b:Volume>
    <b:Issue>2</b:Issue>
    <b:RefOrder>52</b:RefOrder>
  </b:Source>
  <b:Source>
    <b:Tag>Hal</b:Tag>
    <b:SourceType>JournalArticle</b:SourceType>
    <b:Guid>{32D1A762-7AE9-468E-B903-3BBC362A9A5D}</b:Guid>
    <b:Author>
      <b:Author>
        <b:NameList>
          <b:Person>
            <b:Last>Hallet</b:Last>
            <b:First>D.</b:First>
          </b:Person>
          <b:Person>
            <b:Last>Chandler</b:Last>
            <b:First>M.</b:First>
            <b:Middle>J.</b:Middle>
          </b:Person>
          <b:Person>
            <b:Last>Lalonde</b:Last>
            <b:First>C.</b:First>
            <b:Middle>E.</b:Middle>
          </b:Person>
        </b:NameList>
      </b:Author>
    </b:Author>
    <b:Title>Aboriginal language knowledge and youth suicide</b:Title>
    <b:JournalName>Cognitive Development</b:JournalName>
    <b:Volume>22</b:Volume>
    <b:Year>2007</b:Year>
    <b:RefOrder>53</b:RefOrder>
  </b:Source>
  <b:Source>
    <b:Tag>Moo19</b:Tag>
    <b:SourceType>JournalArticle</b:SourceType>
    <b:Guid>{A871627E-D211-4E98-A6CA-41DFB77A2586}</b:Guid>
    <b:Author>
      <b:Author>
        <b:NameList>
          <b:Person>
            <b:Last>Moodie</b:Last>
            <b:First>N.</b:First>
          </b:Person>
          <b:Person>
            <b:Last>Maxwell</b:Last>
            <b:First>J.</b:First>
          </b:Person>
          <b:Person>
            <b:Last>Rudolph</b:Last>
            <b:First>S.</b:First>
          </b:Person>
        </b:NameList>
      </b:Author>
    </b:Author>
    <b:Title>The Impact of racism on the schooling experiences of Aboriginal and Torres Strait Islander students: A systematic review</b:Title>
    <b:JournalName>Australian Educational Researcher</b:JournalName>
    <b:Year>2019</b:Year>
    <b:Volume>46</b:Volume>
    <b:RefOrder>54</b:RefOrder>
  </b:Source>
  <b:Source>
    <b:Tag>Ausnd</b:Tag>
    <b:SourceType>InternetSite</b:SourceType>
    <b:Guid>{2A1B3ECD-E21D-4150-AFC2-27F5C20FE587}</b:Guid>
    <b:Title>About the Australian Curriculum</b:Title>
    <b:Year>n.d.</b:Year>
    <b:URL>https://www.australiancurriculum.edu.au/about-the-australian-curriculum/</b:URL>
    <b:Author>
      <b:Author>
        <b:Corporate>Australian Curriculum Assessment and Reporting Authority</b:Corporate>
      </b:Author>
    </b:Author>
    <b:YearAccessed>2021</b:YearAccessed>
    <b:MonthAccessed>10</b:MonthAccessed>
    <b:DayAccessed>04</b:DayAccessed>
    <b:RefOrder>55</b:RefOrder>
  </b:Source>
  <b:Source>
    <b:Tag>Tul16</b:Tag>
    <b:SourceType>JournalArticle</b:SourceType>
    <b:Guid>{77079E4A-29C6-43C2-867E-9CCB7473AD3F}</b:Guid>
    <b:Title>Inuit principals and the changing context of bilingual education in Nunavut</b:Title>
    <b:Year>2016</b:Year>
    <b:Author>
      <b:Author>
        <b:NameList>
          <b:Person>
            <b:Last>Tulloch</b:Last>
            <b:First>S.</b:First>
            <b:Middle>et al</b:Middle>
          </b:Person>
        </b:NameList>
      </b:Author>
    </b:Author>
    <b:Pages>189-209</b:Pages>
    <b:JournalName>Etudes inuit. Inuit studies</b:JournalName>
    <b:Volume>40</b:Volume>
    <b:Issue>1</b:Issue>
    <b:RefOrder>56</b:RefOrder>
  </b:Source>
  <b:Source>
    <b:Tag>Edund1</b:Tag>
    <b:SourceType>Report</b:SourceType>
    <b:Guid>{FB1541BF-45D5-419A-B2C7-0CA60FEC7BF9}</b:Guid>
    <b:Author>
      <b:Author>
        <b:Corporate>Education Counts</b:Corporate>
      </b:Author>
    </b:Author>
    <b:Title>Quick Stats about Māori Education</b:Title>
    <b:Year>n.d.</b:Year>
    <b:RefOrder>57</b:RefOrder>
  </b:Source>
  <b:Source>
    <b:Tag>Dic10</b:Tag>
    <b:SourceType>JournalArticle</b:SourceType>
    <b:Guid>{FC03EBEE-9086-487D-88E2-A033400C07E6}</b:Guid>
    <b:Title>No Warlpiri, no school? A preliminary look at attendance in Warlpiri schools since introducing the First Four Hours of English policy</b:Title>
    <b:Year>2010</b:Year>
    <b:Author>
      <b:Author>
        <b:NameList>
          <b:Person>
            <b:Last>Dickson</b:Last>
            <b:First>G.</b:First>
          </b:Person>
        </b:NameList>
      </b:Author>
    </b:Author>
    <b:JournalName>Ngoonjook: A Journal of Australian Indigenous Issues</b:JournalName>
    <b:Pages>97-113</b:Pages>
    <b:Volume>35</b:Volume>
    <b:RefOrder>58</b:RefOrder>
  </b:Source>
  <b:Source>
    <b:Tag>Mac19</b:Tag>
    <b:SourceType>JournalArticle</b:SourceType>
    <b:Guid>{4F30C98C-FBDA-46FB-9033-33534A2404BB}</b:Guid>
    <b:Author>
      <b:Author>
        <b:NameList>
          <b:Person>
            <b:Last>MacDonald</b:Last>
            <b:First>M.</b:First>
          </b:Person>
        </b:NameList>
      </b:Author>
    </b:Author>
    <b:Title>Carolyn Bennett lauds 'amazing' Mi'kmaq graduation rate in Nova Scotia, signs new $600-million agreement</b:Title>
    <b:JournalName>Global News</b:JournalName>
    <b:Year>2019</b:Year>
    <b:URL>https://globalnews.ca/news/5056368/mikmaq-education-authority-ns/</b:URL>
    <b:Publisher>The Canadian Press</b:Publisher>
    <b:YearAccessed>2021</b:YearAccessed>
    <b:MonthAccessed>10</b:MonthAccessed>
    <b:DayAccessed>04</b:DayAccessed>
    <b:RefOrder>59</b:RefOrder>
  </b:Source>
  <b:Source>
    <b:Tag>Wol19</b:Tag>
    <b:SourceType>Report</b:SourceType>
    <b:Guid>{15A5967B-AB5A-4A4E-B638-DAB0E03B730C}</b:Guid>
    <b:Title>Cognitive Benefits of Language Learning: Broadening our perspectives. Final Report to the British Academy</b:Title>
    <b:Year>2019</b:Year>
    <b:URL>https://www.thebritishacademy.ac.uk/documents/287/Cognitive-Benefits-Language-Learning-Final-Report.pdf</b:URL>
    <b:Author>
      <b:Author>
        <b:NameList>
          <b:Person>
            <b:Last>Woll</b:Last>
            <b:First>B.</b:First>
          </b:Person>
          <b:Person>
            <b:Last>Wei</b:Last>
            <b:First>L.</b:First>
          </b:Person>
        </b:NameList>
      </b:Author>
    </b:Author>
    <b:Publisher>The British Academy</b:Publisher>
    <b:YearAccessed>2021</b:YearAccessed>
    <b:MonthAccessed>10</b:MonthAccessed>
    <b:DayAccessed>04</b:DayAccessed>
    <b:RefOrder>60</b:RefOrder>
  </b:Source>
  <b:Source>
    <b:Tag>Jon10</b:Tag>
    <b:SourceType>BookSection</b:SourceType>
    <b:Guid>{9476524C-1A25-4F2B-8749-8231717DF4A4}</b:Guid>
    <b:Title>Sounds, spelling and learning to read an Aboriginal language</b:Title>
    <b:Year>2010</b:Year>
    <b:Medium>Book chapter</b:Medium>
    <b:BookTitle>Re-awakening languages</b:BookTitle>
    <b:Publisher>Sydney University Press, Sydney</b:Publisher>
    <b:Author>
      <b:Editor>
        <b:NameList>
          <b:Person>
            <b:Last>Hobson, J. et al</b:Last>
          </b:Person>
        </b:NameList>
      </b:Editor>
      <b:Author>
        <b:NameList>
          <b:Person>
            <b:Last>Jones</b:Last>
            <b:First>C.</b:First>
          </b:Person>
          <b:Person>
            <b:Last>Chandler</b:Last>
            <b:First>P.</b:First>
          </b:Person>
          <b:Person>
            <b:Last>Lowe</b:Last>
            <b:First>K.</b:First>
          </b:Person>
        </b:NameList>
      </b:Author>
    </b:Author>
    <b:RefOrder>61</b:RefOrder>
  </b:Source>
  <b:Source>
    <b:Tag>New191</b:Tag>
    <b:SourceType>Report</b:SourceType>
    <b:Guid>{D92EB5D0-560A-458C-8D8D-93A500CBF7DC}</b:Guid>
    <b:Title>2018 annual report NCEA [National Certificate of Educational Achievement], University entrance and NZ scholarship data and statistics</b:Title>
    <b:Year>2019</b:Year>
    <b:Publisher>NZQA, Wellington</b:Publisher>
    <b:URL>https://www.nzqa.govt.nz/assets/About-us/Publications/stats-reports/ncea-annual-report-2018.pdf</b:URL>
    <b:Author>
      <b:Author>
        <b:Corporate>New Zealand Qualifications Authority</b:Corporate>
      </b:Author>
    </b:Author>
    <b:YearAccessed>2021</b:YearAccessed>
    <b:MonthAccessed>10</b:MonthAccessed>
    <b:DayAccessed>04</b:DayAccessed>
    <b:RefOrder>62</b:RefOrder>
  </b:Source>
  <b:Source>
    <b:Tag>May19</b:Tag>
    <b:SourceType>Report</b:SourceType>
    <b:Guid>{D69E4BD6-7557-4C04-A25B-80477E7E8DAD}</b:Guid>
    <b:Author>
      <b:Author>
        <b:NameList>
          <b:Person>
            <b:Last>May</b:Last>
            <b:First>S.</b:First>
          </b:Person>
          <b:Person>
            <b:Last>Jang-Jones</b:Last>
            <b:First>A.</b:First>
          </b:Person>
          <b:Person>
            <b:Last>McGregor</b:Last>
            <b:First>A.</b:First>
          </b:Person>
        </b:NameList>
      </b:Author>
    </b:Author>
    <b:Title>PISA (2018), New Zealand Summary Report. System Performance and Equity</b:Title>
    <b:Year>2019</b:Year>
    <b:Publisher>Ministry of Education, Wellington</b:Publisher>
    <b:YearAccessed>2021</b:YearAccessed>
    <b:MonthAccessed>10</b:MonthAccessed>
    <b:DayAccessed>04</b:DayAccessed>
    <b:URL>https://www.educationcounts.govt.nz/__data/assets/pdf_file/0006/196629/PISA-2018-NZ-Summary-Report.pdf</b:URL>
    <b:RefOrder>63</b:RefOrder>
  </b:Source>
  <b:Source>
    <b:Tag>UNG07</b:Tag>
    <b:SourceType>Report</b:SourceType>
    <b:Guid>{634E8DA1-4575-4196-9BED-92DEEACEB055}</b:Guid>
    <b:Author>
      <b:Author>
        <b:Corporate>UN General Assembly</b:Corporate>
      </b:Author>
    </b:Author>
    <b:Title>United Nations Declaration on the Rights of Indigenous Peoples</b:Title>
    <b:Year>2007</b:Year>
    <b:Publisher>United Nations, New York</b:Publisher>
    <b:YearAccessed>2021</b:YearAccessed>
    <b:MonthAccessed>10</b:MonthAccessed>
    <b:DayAccessed>04</b:DayAccessed>
    <b:URL>https://www.un.org/development/desa/indigenouspeoples/wp-content/uploads/sites/19/2018/11/UNDRIP_E_web.pdf</b:URL>
    <b:RefOrder>64</b:RefOrder>
  </b:Source>
  <b:Source>
    <b:Tag>UNG92</b:Tag>
    <b:SourceType>Report</b:SourceType>
    <b:Guid>{ED9AD3BB-6D8A-4935-B1FE-E1EF39CC384C}</b:Guid>
    <b:Title>Declaration on the rights of persons belonging to national or ethnic, religious and linguistic minorities</b:Title>
    <b:Year>1992</b:Year>
    <b:Author>
      <b:Author>
        <b:Corporate>UN General Assembly</b:Corporate>
      </b:Author>
    </b:Author>
    <b:YearAccessed>2021</b:YearAccessed>
    <b:MonthAccessed>10</b:MonthAccessed>
    <b:DayAccessed>04</b:DayAccessed>
    <b:URL>https://www.ohchr.org/Documents/Publications/GuideMinoritiesDeclarationen.pdf</b:URL>
    <b:RefOrder>65</b:RefOrder>
  </b:Source>
  <b:Source>
    <b:Tag>Int21</b:Tag>
    <b:SourceType>Report</b:SourceType>
    <b:Guid>{52C5622F-A7B4-4DF0-8928-8C5EA4441E46}</b:Guid>
    <b:Title>Charter on Language Policy and Language RIghts in the Creole-Speaking Caribbean</b:Title>
    <b:Year>2011</b:Year>
    <b:Author>
      <b:Author>
        <b:Corporate>International Center for Caribbean Language Research (ICCLR)</b:Corporate>
      </b:Author>
    </b:Author>
    <b:Publisher>ICCLR, Kingston, Jamaica</b:Publisher>
    <b:YearAccessed>2021</b:YearAccessed>
    <b:MonthAccessed>10</b:MonthAccessed>
    <b:DayAccessed>04</b:DayAccessed>
    <b:URL>http://caribbeanlanguagepolicy.weebly.com/uploads/5/3/9/0/5390818/charter_on_language_policy_and_language_rights_in.docx2.pdf</b:URL>
    <b:RefOrder>66</b:RefOrder>
  </b:Source>
  <b:Source>
    <b:Tag>UNE21</b:Tag>
    <b:SourceType>Report</b:SourceType>
    <b:Guid>{A2512891-615F-41D2-BFD2-21894C1DE925}</b:Guid>
    <b:Title>Evaluation of UNESCO's Action to Revitalize and Promote Indigenous Languages: Within the framework of the International Year of Indigenous Languages</b:Title>
    <b:Year>2021</b:Year>
    <b:Author>
      <b:Author>
        <b:Corporate>UNESCO</b:Corporate>
      </b:Author>
    </b:Author>
    <b:Publisher>UNESCO, Paris</b:Publisher>
    <b:YearAccessed>2021</b:YearAccessed>
    <b:MonthAccessed>10</b:MonthAccessed>
    <b:DayAccessed>04</b:DayAccessed>
    <b:URL>https://en.unesco.org/system/files/private_documents/376719eng.pdf</b:URL>
    <b:RefOrder>67</b:RefOrder>
  </b:Source>
  <b:Source>
    <b:Tag>Min21</b:Tag>
    <b:SourceType>ElectronicSource</b:SourceType>
    <b:Guid>{381B26EC-9D63-4B59-812B-47C90E5D6999}</b:Guid>
    <b:Author>
      <b:Author>
        <b:Corporate>Minister of Pacific Peoples</b:Corporate>
      </b:Author>
    </b:Author>
    <b:Title>Pacific Languages funding re-opens, Press release, Government of Aotearoa New Zealand</b:Title>
    <b:Year>2021</b:Year>
    <b:YearAccessed>2021</b:YearAccessed>
    <b:MonthAccessed>10</b:MonthAccessed>
    <b:DayAccessed>04</b:DayAccessed>
    <b:URL>https://www.beehive.govt.nz/release/pacific-languages-funding-reopens-0</b:URL>
    <b:RefOrder>68</b:RefOrder>
  </b:Source>
  <b:Source>
    <b:Tag>TeM17</b:Tag>
    <b:SourceType>Report</b:SourceType>
    <b:Guid>{B32AB120-3A84-4B6D-853D-2AE6F5A59EB6}</b:Guid>
    <b:Title>Maihi Māori 2017-2040 Strategy</b:Title>
    <b:Year>2017</b:Year>
    <b:Author>
      <b:Author>
        <b:Corporate>Te Mātāwai</b:Corporate>
      </b:Author>
    </b:Author>
    <b:YearAccessed>2021</b:YearAccessed>
    <b:MonthAccessed>10</b:MonthAccessed>
    <b:DayAccessed>4</b:DayAccessed>
    <b:URL>https://www.tematawai.maori.nz/assets/Corporate-Documents/Maihi-Maori-A4-Printable-English.pdf</b:URL>
    <b:RefOrder>69</b:RefOrder>
  </b:Source>
  <b:Source>
    <b:Tag>TeP19</b:Tag>
    <b:SourceType>Report</b:SourceType>
    <b:Guid>{EEBEA5BD-D46D-45B6-B747-EB96E93B4BAA}</b:Guid>
    <b:Author>
      <b:Author>
        <b:Corporate>Te Puni Kōkiri [Ministry of Māori Development]</b:Corporate>
      </b:Author>
    </b:Author>
    <b:Title>Maihi Karauna: The Crown's Strategy for Māori Language Revitalisation 2019–2023 (English version)</b:Title>
    <b:Year>2019</b:Year>
    <b:YearAccessed>2021</b:YearAccessed>
    <b:MonthAccessed>10</b:MonthAccessed>
    <b:DayAccessed>4</b:DayAccessed>
    <b:URL>http://www.tpk.govt.nz/documents/download/documents-5540/tpk-maihi-karauna-strategy-en-2019.pdf</b:URL>
    <b:RefOrder>70</b:RefOrder>
  </b:Source>
  <b:Source>
    <b:Tag>TeP191</b:Tag>
    <b:SourceType>Report</b:SourceType>
    <b:Guid>{BAC3F61E-F6DF-4BC9-8E92-E5BFAB07294B}</b:Guid>
    <b:Author>
      <b:Author>
        <b:Corporate>Te Puni Kōkiri </b:Corporate>
      </b:Author>
    </b:Author>
    <b:Title>A monitoring and evaluation framework for the Maihi Karauna: The Crown's strategy for Māori Language Revitalisation, 2018-2023</b:Title>
    <b:Year>2019</b:Year>
    <b:YearAccessed>2021</b:YearAccessed>
    <b:MonthAccessed>10</b:MonthAccessed>
    <b:DayAccessed>4</b:DayAccessed>
    <b:URL>https://www.tpk.govt.nz/docs/tpk-maihi-karauna-monitoring-evaluation-framework.pdf</b:URL>
    <b:RefOrder>71</b:RefOrder>
  </b:Source>
  <b:Source>
    <b:Tag>TeP</b:Tag>
    <b:SourceType>Report</b:SourceType>
    <b:Guid>{BCC1C5D1-4023-4332-A10F-AF2B158BFD85}</b:Guid>
    <b:Author>
      <b:Author>
        <b:Corporate>Te Puni Kōkiri</b:Corporate>
      </b:Author>
    </b:Author>
    <b:Title>Measuring the current state of te reo Māori</b:Title>
    <b:Year>2019</b:Year>
    <b:YearAccessed>2021</b:YearAccessed>
    <b:MonthAccessed>10</b:MonthAccessed>
    <b:DayAccessed>4</b:DayAccessed>
    <b:URL>https://www.tpk.govt.nz/docs/tpk-maihi-karauna-measuring-the-current-state.pdf</b:URL>
    <b:RefOrder>72</b:RefOrder>
  </b:Source>
  <b:Source>
    <b:Tag>Dis19</b:Tag>
    <b:SourceType>JournalArticle</b:SourceType>
    <b:Guid>{32E10023-3539-459C-B92D-298ADFD184FF}</b:Guid>
    <b:Title>Realising the Australian Curriculum Framework for Aboriginal Languages and Torres Strait Islander Languages</b:Title>
    <b:Year>2019</b:Year>
    <b:Author>
      <b:Author>
        <b:NameList>
          <b:Person>
            <b:Last>Disbray</b:Last>
            <b:First>S.</b:First>
          </b:Person>
        </b:NameList>
      </b:Author>
    </b:Author>
    <b:JournalName>Babel (Journal of the Australian Federation of Modern Language Teachers' Associations)</b:JournalName>
    <b:Pages>21-25</b:Pages>
    <b:Volume>54</b:Volume>
    <b:RefOrder>73</b:RefOrder>
  </b:Source>
  <b:Source>
    <b:Tag>Aus181</b:Tag>
    <b:SourceType>Report</b:SourceType>
    <b:Guid>{66F65C8C-4F35-4D82-A9E8-8E586FEFC537}</b:Guid>
    <b:Title>ACT language services policy</b:Title>
    <b:Year>2018</b:Year>
    <b:Author>
      <b:Author>
        <b:Corporate>Australian Capital Territory Government</b:Corporate>
      </b:Author>
    </b:Author>
    <b:Publisher>Australian Capital Territory Government, Canberra</b:Publisher>
    <b:RefOrder>74</b:RefOrder>
  </b:Source>
  <b:Source>
    <b:Tag>Dep132</b:Tag>
    <b:SourceType>Report</b:SourceType>
    <b:Guid>{62416CF6-202F-4C02-A501-BC6A956325E1}</b:Guid>
    <b:Author>
      <b:Author>
        <b:Corporate>Department of Aboriginal Affairs</b:Corporate>
      </b:Author>
    </b:Author>
    <b:Title>OCHRE: Opportunity, choice, healing, responsibility, empowerment - NSW Government Plan for Aboriginal affairs: education, employment and accountability</b:Title>
    <b:Year>2013</b:Year>
    <b:YearAccessed>2021</b:YearAccessed>
    <b:MonthAccessed>10</b:MonthAccessed>
    <b:DayAccessed>4</b:DayAccessed>
    <b:URL>https://www.aboriginalaffairs.nsw.gov.au/pdfs/OCHRE/AA_OCHRE_final.pdf</b:URL>
    <b:RefOrder>75</b:RefOrder>
  </b:Source>
  <b:Source>
    <b:Tag>Boa03</b:Tag>
    <b:SourceType>Report</b:SourceType>
    <b:Guid>{66BAB9C4-3ED7-46FA-A7AC-3D15E0A1700C}</b:Guid>
    <b:Author>
      <b:Author>
        <b:Corporate>Board of Studies, New South Wales</b:Corporate>
      </b:Author>
    </b:Author>
    <b:Title>Aboriginal Languages K–10 Syllabus</b:Title>
    <b:Year>2003</b:Year>
    <b:Publisher>Board of Studies, New South Wales, Sydney</b:Publisher>
    <b:RefOrder>219</b:RefOrder>
  </b:Source>
  <b:Source>
    <b:Tag>Boa15</b:Tag>
    <b:SourceType>Report</b:SourceType>
    <b:Guid>{87E5CC4C-149A-4A7B-8C5B-CA83A71AE8FC}</b:Guid>
    <b:Author>
      <b:Author>
        <b:Corporate>Board of Studies, New South Wales</b:Corporate>
      </b:Author>
    </b:Author>
    <b:Title>Aboriginal Languages Stage 6 Content Endorsed Course Syllabus</b:Title>
    <b:Year>2015</b:Year>
    <b:Publisher>Board of Studies, New South Wales, Sydney</b:Publisher>
    <b:RefOrder>76</b:RefOrder>
  </b:Source>
  <b:Source>
    <b:Tag>Nor16</b:Tag>
    <b:SourceType>Report</b:SourceType>
    <b:Guid>{C3A2D23F-3C80-4367-9033-05870346FC01}</b:Guid>
    <b:Year>2016</b:Year>
    <b:Author>
      <b:Author>
        <b:Corporate>Northern Territory Board of Studies</b:Corporate>
      </b:Author>
    </b:Author>
    <b:URL>https://education.nt.gov.au/__data/assets/pdf_file/0012/413202/Policy_Keeping-Indigenous-Languages-and-Cultures-Strong-Document_web_updated.pdf</b:URL>
    <b:Title>Keeping Indigenous languages and cultures strong: A plan for the teaching and learning of Indigenous languages and cultures in Northern Territory schools</b:Title>
    <b:Publisher>Northern Territory Government, Darwin</b:Publisher>
    <b:YearAccessed>2021</b:YearAccessed>
    <b:MonthAccessed>10</b:MonthAccessed>
    <b:DayAccessed>4</b:DayAccessed>
    <b:RefOrder>77</b:RefOrder>
  </b:Source>
  <b:Source>
    <b:Tag>Sim09</b:Tag>
    <b:SourceType>Report</b:SourceType>
    <b:Guid>{1AF4D5EA-6A80-437D-8B2D-323CC7D13009}</b:Guid>
    <b:Author>
      <b:Author>
        <b:Corporate>Simpson, J.; Caffery, J.; McConvell, P.</b:Corporate>
      </b:Author>
    </b:Author>
    <b:Title>Gaps in Australia's Indigenous language policy: Dismantling bilingual education in the Northern Territory. Discussion Paper</b:Title>
    <b:Year>2009</b:Year>
    <b:Publisher>Australian Institute for Aboriginal and Torres Strait Islander Studies, Canberra</b:Publisher>
    <b:RefOrder>78</b:RefOrder>
  </b:Source>
  <b:Source>
    <b:Tag>Gov191</b:Tag>
    <b:SourceType>Report</b:SourceType>
    <b:Guid>{14ABAFBD-C9EA-4D05-A790-7363D89A7CC1}</b:Guid>
    <b:Title>Government support for NT bilingual education after 1950: A longer timeline</b:Title>
    <b:Year>2019</b:Year>
    <b:Publisher>Friends of Bilingual Learning</b:Publisher>
    <b:YearAccessed>2021</b:YearAccessed>
    <b:MonthAccessed>10</b:MonthAccessed>
    <b:DayAccessed>4</b:DayAccessed>
    <b:URL>https://www.fobl.net.au/index.php/au-WA/history/71-government-support-for-nt-bilingual-education-after-1950-a-longer-timeline </b:URL>
    <b:Author>
      <b:Author>
        <b:NameList>
          <b:Person>
            <b:Last>Devlin</b:Last>
            <b:First>B.</b:First>
          </b:Person>
        </b:NameList>
      </b:Author>
    </b:Author>
    <b:RefOrder>79</b:RefOrder>
  </b:Source>
  <b:Source>
    <b:Tag>Fir181</b:Tag>
    <b:SourceType>Report</b:SourceType>
    <b:Guid>{978FE519-623A-4E59-9F28-352C204E9D77}</b:Guid>
    <b:Author>
      <b:Author>
        <b:Corporate>First Languages Australia</b:Corporate>
      </b:Author>
    </b:Author>
    <b:Title>Nintiringanyi: National Aboriginal and Torres Strait Islander Language Teaching and Employment Strategy</b:Title>
    <b:Year>2018</b:Year>
    <b:Publisher>First Languages, Australia</b:Publisher>
    <b:YearAccessed>2021</b:YearAccessed>
    <b:MonthAccessed>10</b:MonthAccessed>
    <b:DayAccessed>4</b:DayAccessed>
    <b:URL>http://www.firstlanguages.org.au/resources/nintiringanyi</b:URL>
    <b:RefOrder>80</b:RefOrder>
  </b:Source>
  <b:Source>
    <b:Tag>Que10</b:Tag>
    <b:SourceType>Report</b:SourceType>
    <b:Guid>{365C9868-8C04-4DD0-948B-C4717A085DBB}</b:Guid>
    <b:Author>
      <b:Author>
        <b:Corporate>Queensland Studies Authority</b:Corporate>
      </b:Author>
    </b:Author>
    <b:Title>P–10 Aboriginal and Torres Strait Islander Languages syllabus</b:Title>
    <b:Year>2010</b:Year>
    <b:Publisher>Queensland Studies Authority, Brisbane</b:Publisher>
    <b:YearAccessed>2021</b:YearAccessed>
    <b:MonthAccessed>10</b:MonthAccessed>
    <b:DayAccessed>4</b:DayAccessed>
    <b:URL>https://www.qcaa.qld.edu.au/downloads/p_10/atsi_languages_p-10_syll.pdf</b:URL>
    <b:RefOrder>81</b:RefOrder>
  </b:Source>
  <b:Source>
    <b:Tag>Dep18</b:Tag>
    <b:SourceType>Report</b:SourceType>
    <b:Guid>{8FFC9FC0-4184-45FE-8F77-BD6CCF63ED0F}</b:Guid>
    <b:Author>
      <b:Author>
        <b:Corporate>Department of Education, Queensland</b:Corporate>
      </b:Author>
    </b:Author>
    <b:Title>Aboriginal and Torres Strait Islander Languages statement</b:Title>
    <b:Year>2018</b:Year>
    <b:Publisher>State of Queensland, Brisbane</b:Publisher>
    <b:YearAccessed>2021</b:YearAccessed>
    <b:MonthAccessed>10</b:MonthAccessed>
    <b:DayAccessed>4</b:DayAccessed>
    <b:URL>https://education.qld.gov.au/student/Documents/aboriginal-torres-strait-islander-languages-statement.pdf</b:URL>
    <b:RefOrder>82</b:RefOrder>
  </b:Source>
  <b:Source>
    <b:Tag>Dep181</b:Tag>
    <b:SourceType>Report</b:SourceType>
    <b:Guid>{8F67A627-ACDC-4848-9182-E77BF8BAC816}</b:Guid>
    <b:Author>
      <b:Author>
        <b:Corporate>Department of Education, South Australia</b:Corporate>
      </b:Author>
    </b:Author>
    <b:Title>Aboriginal Education Strategy 2019 to 2029</b:Title>
    <b:Year>2018</b:Year>
    <b:Publisher>Government of South Australia, Adelaide</b:Publisher>
    <b:YearAccessed>2021</b:YearAccessed>
    <b:MonthAccessed>10</b:MonthAccessed>
    <b:DayAccessed>4</b:DayAccessed>
    <b:URL>https://www.education.sa.gov.au/sites/default/files/dept-ed-aboriginal-education-strategy-2019-2029.pdf</b:URL>
    <b:RefOrder>83</b:RefOrder>
  </b:Source>
  <b:Source>
    <b:Tag>Dep96</b:Tag>
    <b:SourceType>Report</b:SourceType>
    <b:Guid>{0062E5E7-9919-49AD-B38E-4E8F38C7F22A}</b:Guid>
    <b:Author>
      <b:Author>
        <b:Corporate>Department of Employment Education Training and Youth Affairs</b:Corporate>
      </b:Author>
    </b:Author>
    <b:Title>Australia's Indigenous languages - Australian Indigenous Languages Framework Project</b:Title>
    <b:Year>1996</b:Year>
    <b:Publisher>Senior Secondary Assessment Board of South Australia (SABSA), Wayville, SA</b:Publisher>
    <b:RefOrder>84</b:RefOrder>
  </b:Source>
  <b:Source>
    <b:Tag>Dep19</b:Tag>
    <b:SourceType>Report</b:SourceType>
    <b:Guid>{27DCD708-010B-4D52-A246-F8373E9DC067}</b:Guid>
    <b:Author>
      <b:Author>
        <b:Corporate>Department of Communities</b:Corporate>
      </b:Author>
    </b:Author>
    <b:Title>Our Multicultural Island: Tasmania's Multicultural Policy and Action Plan 2019-2022</b:Title>
    <b:Year>2019</b:Year>
    <b:Publisher>State of Tasmania, Hobart</b:Publisher>
    <b:YearAccessed>2021</b:YearAccessed>
    <b:MonthAccessed>10</b:MonthAccessed>
    <b:DayAccessed>4</b:DayAccessed>
    <b:URL>https://www.communities.tas.gov.au/__data/assets/pdf_file/0023/62168/Our-Multicultural-Island-Policy-2019.pdf</b:URL>
    <b:RefOrder>85</b:RefOrder>
  </b:Source>
  <b:Source>
    <b:Tag>Vic15</b:Tag>
    <b:SourceType>Report</b:SourceType>
    <b:Guid>{B3D58959-469B-4EE3-B2AD-03DA8C036F5D}</b:Guid>
    <b:Author>
      <b:Author>
        <b:Corporate>Victorian Curriculum and Assessment Authority</b:Corporate>
      </b:Author>
    </b:Author>
    <b:Title>Victorian Curriculum F–10: Victorian Aboriginal Languages</b:Title>
    <b:Year>2015</b:Year>
    <b:Publisher>Victorian Curriculum and Assessment Authority, Melbourne</b:Publisher>
    <b:YearAccessed>2021</b:YearAccessed>
    <b:MonthAccessed>10</b:MonthAccessed>
    <b:DayAccessed>4</b:DayAccessed>
    <b:URL>https://victoriancurriculum.vcaa.vic.edu.au/languages/victorian-aboriginal-languages/curriculum/f-10</b:URL>
    <b:RefOrder>86</b:RefOrder>
  </b:Source>
  <b:Source>
    <b:Tag>Sch17</b:Tag>
    <b:SourceType>Report</b:SourceType>
    <b:Guid>{5FB05579-71CE-4260-AD86-7B85B99CC190}</b:Guid>
    <b:Year>2017</b:Year>
    <b:YearAccessed>2021</b:YearAccessed>
    <b:MonthAccessed>10</b:MonthAccessed>
    <b:DayAccessed>4</b:DayAccessed>
    <b:URL>https://k10outline.scsa.wa.edu.au/home/teaching/curriculum-browser/languages/ac-languages/ac-languages2/aboriginal-languages</b:URL>
    <b:Author>
      <b:Author>
        <b:Corporate>School Curriculum and Standards Authority</b:Corporate>
      </b:Author>
    </b:Author>
    <b:Title>Aboriginal Languages and Torres Strait Islander Languages Framework</b:Title>
    <b:Publisher>Government of Western Australia, Perth</b:Publisher>
    <b:RefOrder>87</b:RefOrder>
  </b:Source>
  <b:Source>
    <b:Tag>Haq15</b:Tag>
    <b:SourceType>JournalArticle</b:SourceType>
    <b:Guid>{94F3E5E1-14A0-40A0-B9FC-AC35FD8C2190}</b:Guid>
    <b:Author>
      <b:Author>
        <b:NameList>
          <b:Person>
            <b:Last>Haque</b:Last>
            <b:First>E.</b:First>
          </b:Person>
          <b:Person>
            <b:Last>Patrick</b:Last>
            <b:First>D.</b:First>
          </b:Person>
        </b:NameList>
      </b:Author>
    </b:Author>
    <b:Title>Indigenous languages and the racial hierarchisation of language policy in Canada</b:Title>
    <b:Year>2015</b:Year>
    <b:JournalName>Journal of Multilingual and Multicultural Development</b:JournalName>
    <b:Volume>36</b:Volume>
    <b:RefOrder>88</b:RefOrder>
  </b:Source>
  <b:Source>
    <b:Tag>Kim20</b:Tag>
    <b:SourceType>JournalArticle</b:SourceType>
    <b:Guid>{6708D72A-B7EF-417D-AD96-5E4E84267FE4}</b:Guid>
    <b:Author>
      <b:Author>
        <b:NameList>
          <b:Person>
            <b:Last>Kim</b:Last>
            <b:First>Hyunah</b:First>
          </b:Person>
          <b:Person>
            <b:Last>Burton</b:Last>
            <b:First>Jennifer</b:First>
            <b:Middle>Lynn</b:Middle>
          </b:Person>
          <b:Person>
            <b:Last>Ahmed</b:Last>
            <b:First>Tanseen</b:First>
          </b:Person>
          <b:Person>
            <b:Last>Bale</b:Last>
            <b:First>Jeff</b:First>
          </b:Person>
        </b:NameList>
      </b:Author>
    </b:Author>
    <b:Title>Linguistic hierarchisation in education policy development: Ontario's Heritage Languages Program</b:Title>
    <b:JournalName>Journal of Multilingual and Multicultural Development</b:JournalName>
    <b:Year>2019</b:Year>
    <b:Pages>320-332</b:Pages>
    <b:Volume>41</b:Volume>
    <b:Issue>4</b:Issue>
    <b:DOI>https://doi.org/10.1080/01434632.2019.1618318</b:DOI>
    <b:RefOrder>89</b:RefOrder>
  </b:Source>
  <b:Source>
    <b:Tag>Gov18</b:Tag>
    <b:SourceType>ElectronicSource</b:SourceType>
    <b:Guid>{1F184F01-0B7E-4C97-B59B-FA66F7329F27}</b:Guid>
    <b:Title>Indigenous Early Learning and Child Care framework</b:Title>
    <b:Year>2018</b:Year>
    <b:URL>https://www.canada.ca/en/employment-social-development/programs/indigenous-early-learning/2018-framework.html</b:URL>
    <b:Author>
      <b:Author>
        <b:Corporate>Government of Canada</b:Corporate>
      </b:Author>
    </b:Author>
    <b:YearAccessed>2021</b:YearAccessed>
    <b:MonthAccessed>10</b:MonthAccessed>
    <b:DayAccessed>4</b:DayAccessed>
    <b:RefOrder>90</b:RefOrder>
  </b:Source>
  <b:Source>
    <b:Tag>Ind19</b:Tag>
    <b:SourceType>Report</b:SourceType>
    <b:Guid>{6653298E-10A4-49EA-8666-AC34C9DC5C3E}</b:Guid>
    <b:Title>New Funding and Policy Approach for First Nations Kindergarten to Grade 12 Education - Backgrounder</b:Title>
    <b:Year>2019</b:Year>
    <b:YearAccessed>2021</b:YearAccessed>
    <b:MonthAccessed>10</b:MonthAccessed>
    <b:DayAccessed>4</b:DayAccessed>
    <b:URL>https://www.canada.ca/en/indigenous-services-canada/news/2019/01/new-funding-and-policy-approach-for-first-nations-kindergarten-to-grade-12-education.html</b:URL>
    <b:Author>
      <b:Author>
        <b:Corporate>Indigenous Services Canada</b:Corporate>
      </b:Author>
    </b:Author>
    <b:Publisher>Government of Canada</b:Publisher>
    <b:RefOrder>91</b:RefOrder>
  </b:Source>
  <b:Source>
    <b:Tag>Wes00</b:Tag>
    <b:SourceType>Report</b:SourceType>
    <b:Guid>{C3CFE8EA-FFB9-42B7-9185-E971111EAF88}</b:Guid>
    <b:Author>
      <b:Author>
        <b:Corporate>Western Canadian Protocol for Collaboration in Basic Education; Oishi, M.</b:Corporate>
      </b:Author>
    </b:Author>
    <b:Title>The Common Curriculum Framework for Aboriginal Language and Culture Programs Kindergarten to Grade 12</b:Title>
    <b:Year>2000</b:Year>
    <b:Publisher>The Crown in Right of the Governments of Alberta, British Columbia, Manitoba, Yukon Territory, Northwest Territories and Saskatchewan</b:Publisher>
    <b:RefOrder>92</b:RefOrder>
  </b:Source>
  <b:Source>
    <b:Tag>Gov04</b:Tag>
    <b:SourceType>Report</b:SourceType>
    <b:Guid>{041806D3-B637-4D46-B03B-E34C9A8B0B3B}</b:Guid>
    <b:Author>
      <b:Author>
        <b:Corporate>Government of British Columbia</b:Corporate>
      </b:Author>
    </b:Author>
    <b:Title>Language Education Policy</b:Title>
    <b:Year>1997, revised 2004</b:Year>
    <b:YearAccessed>2021</b:YearAccessed>
    <b:MonthAccessed>10</b:MonthAccessed>
    <b:DayAccessed>4</b:DayAccessed>
    <b:URL>https://www2.gov.bc.ca/gov/content/education-training/k-12/administration/legislation-policy/public-schools/language-education-policy</b:URL>
    <b:RefOrder>93</b:RefOrder>
  </b:Source>
  <b:Source>
    <b:Tag>Man07</b:Tag>
    <b:SourceType>Report</b:SourceType>
    <b:Guid>{FCFA7494-FC1A-41AA-BA7F-14F240EF1894}</b:Guid>
    <b:Author>
      <b:Author>
        <b:Corporate>Manitoba Education Citizenship and Youth</b:Corporate>
      </b:Author>
    </b:Author>
    <b:Title>Kindergarten to Grade 12 Aboriginal Languages and Cultures: Manitoba curriculum framework of outcomes</b:Title>
    <b:Year>2007</b:Year>
    <b:Publisher>Government of Manitoba</b:Publisher>
    <b:YearAccessed>2021</b:YearAccessed>
    <b:MonthAccessed>10</b:MonthAccessed>
    <b:DayAccessed>4</b:DayAccessed>
    <b:URL>https://www.edu.gov.mb.ca/k12/abedu/framework/k-12_ab_lang.pdf</b:URL>
    <b:RefOrder>94</b:RefOrder>
  </b:Source>
  <b:Source>
    <b:Tag>Gov181</b:Tag>
    <b:SourceType>Report</b:SourceType>
    <b:Guid>{13B60B84-38D1-4D9A-8A5D-BF0F073B9D00}</b:Guid>
    <b:Year>2018</b:Year>
    <b:Author>
      <b:Author>
        <b:Corporate>Government of Northwest Territories</b:Corporate>
      </b:Author>
    </b:Author>
    <b:YearAccessed>2021</b:YearAccessed>
    <b:MonthAccessed>10</b:MonthAccessed>
    <b:DayAccessed>4</b:DayAccessed>
    <b:URL>https://www.ece.gov.nt.ca/sites/ece/files/resources/northwest_territories_aboriginal_languages_framework_-_may_2017.pdf</b:URL>
    <b:Title>Doing, knowing, seeing, living, believing: NWT Aboriginal languages framework: A shared responsibility</b:Title>
    <b:Publisher>Government of Northwest Territories</b:Publisher>
    <b:RefOrder>95</b:RefOrder>
  </b:Source>
  <b:Source>
    <b:Tag>Dep182</b:Tag>
    <b:SourceType>Report</b:SourceType>
    <b:Guid>{4EE689A1-C472-49FE-8187-85962AA67E0C}</b:Guid>
    <b:Year>2018</b:Year>
    <b:Author>
      <b:Author>
        <b:Corporate>Department of Education, Culture and Employment</b:Corporate>
      </b:Author>
    </b:Author>
    <b:YearAccessed>2021</b:YearAccessed>
    <b:MonthAccessed>10</b:MonthAccessed>
    <b:DayAccessed>4</b:DayAccessed>
    <b:URL>https://www.ece.gov.nt.ca/sites/ece/files/resources/nwt_indigenous_languages_and_education_ile_policy_-_final_august_2018.pdf</b:URL>
    <b:Title>Northwest Territories Junior Kindergarten – Grade 12 Indigenous Languages and Education Policy</b:Title>
    <b:Publisher>Government of Northwest Territories</b:Publisher>
    <b:RefOrder>96</b:RefOrder>
  </b:Source>
  <b:Source>
    <b:Tag>Dep15</b:Tag>
    <b:SourceType>Report</b:SourceType>
    <b:Guid>{AD7A12D7-A41C-4805-8BA3-232D20B56579}</b:Guid>
    <b:Title>Foundation for Mi'kmaw Language Curriculum</b:Title>
    <b:Year>2015</b:Year>
    <b:Author>
      <b:Author>
        <b:Corporate>Department of Education and Early Childhood Development (Nova Scotia)</b:Corporate>
      </b:Author>
    </b:Author>
    <b:YearAccessed>2021</b:YearAccessed>
    <b:MonthAccessed>10</b:MonthAccessed>
    <b:DayAccessed>4</b:DayAccessed>
    <b:URL>https://www.ednet.ns.ca/files/curriculum/Foundation_for_Mikmaw_Language_Curriculum.pdf</b:URL>
    <b:RefOrder>97</b:RefOrder>
  </b:Source>
  <b:Source>
    <b:Tag>Mar19</b:Tag>
    <b:SourceType>JournalArticle</b:SourceType>
    <b:Guid>{8D29DEA8-F2D9-42FA-9E99-6A2F4DAC1E9B}</b:Guid>
    <b:Title>Nunavut education at a crossroads: reflections on Bill 25</b:Title>
    <b:Year>2019</b:Year>
    <b:Author>
      <b:Author>
        <b:NameList>
          <b:Person>
            <b:Last>Martin</b:Last>
            <b:First>Ian</b:First>
          </b:Person>
        </b:NameList>
      </b:Author>
    </b:Author>
    <b:YearAccessed>2021</b:YearAccessed>
    <b:MonthAccessed>10</b:MonthAccessed>
    <b:DayAccessed>4</b:DayAccessed>
    <b:URL>https://nunatsiaq.com/stories/article/nunavut-education-at-a-crossroads-reflections-on-bill-25/</b:URL>
    <b:JournalName>Nunatsiaq News</b:JournalName>
    <b:Month>11</b:Month>
    <b:Day>8</b:Day>
    <b:RefOrder>98</b:RefOrder>
  </b:Source>
  <b:Source>
    <b:Tag>Dep191</b:Tag>
    <b:SourceType>JournalArticle</b:SourceType>
    <b:Guid>{F219A639-F96B-4268-BFBB-CFDEA0ED90A0}</b:Guid>
    <b:Title>Revitalizing and Strengthening Inuktut in Nunavut (Media Release)</b:Title>
    <b:Year>2019</b:Year>
    <b:URL>https://www.gov.nu.ca/education/news/revitalizing-and-strengthening-inuktut-nunavut</b:URL>
    <b:Author>
      <b:Author>
        <b:Corporate>Department of Education, Nunavut</b:Corporate>
      </b:Author>
    </b:Author>
    <b:Publisher>Government of Nunavut</b:Publisher>
    <b:YearAccessed>2021</b:YearAccessed>
    <b:MonthAccessed>10</b:MonthAccessed>
    <b:DayAccessed>1</b:DayAccessed>
    <b:Month>9</b:Month>
    <b:Day>9</b:Day>
    <b:RefOrder>99</b:RefOrder>
  </b:Source>
  <b:Source>
    <b:Tag>Min18</b:Tag>
    <b:SourceType>Report</b:SourceType>
    <b:Guid>{05BB1EEF-5458-4B43-951F-04BE2A7096FD}</b:Guid>
    <b:Author>
      <b:Author>
        <b:Corporate>Ministry of Education</b:Corporate>
      </b:Author>
    </b:Author>
    <b:Year>2018</b:Year>
    <b:URL>https://pubsaskdev.blob.core.windows.net/pubsask-prod/107115/107115-Inspiring_Success_Policy_Framework.pdf</b:URL>
    <b:Title>Inspiring Success: First Nations and Métis PreK-12 Education Policy Framework, Government of Saskatchewan</b:Title>
    <b:YearAccessed>2021</b:YearAccessed>
    <b:MonthAccessed>10</b:MonthAccessed>
    <b:DayAccessed>4</b:DayAccessed>
    <b:RefOrder>100</b:RefOrder>
  </b:Source>
  <b:Source>
    <b:Tag>2110</b:Tag>
    <b:SourceType>Report</b:SourceType>
    <b:Guid>{66421EF2-2494-46CC-ADA2-27C9A072259D}</b:Guid>
    <b:YearAccessed>2021</b:YearAccessed>
    <b:MonthAccessed>10</b:MonthAccessed>
    <b:DayAccessed>4</b:DayAccessed>
    <b:URL>https://www.edonline.sk.ca/bbcswebdav/xid-181909_1</b:URL>
    <b:Author>
      <b:Author>
        <b:Corporate>Saskatchewan Education Training and Employment</b:Corporate>
      </b:Author>
    </b:Author>
    <b:Year>1994</b:Year>
    <b:Title>Aboriginal Languages: A Curriculum Guide for Kindergarten to Grade 12</b:Title>
    <b:RefOrder>101</b:RefOrder>
  </b:Source>
  <b:Source>
    <b:Tag>Pro16</b:Tag>
    <b:SourceType>Report</b:SourceType>
    <b:Guid>{B0062AEB-B9FE-4A7E-8019-950C9AC98CB1}</b:Guid>
    <b:Title>Expecting the best from everyone: Recommendations for a 10-year education plan (Anglophone sector)</b:Title>
    <b:Year>2016</b:Year>
    <b:Author>
      <b:Author>
        <b:Corporate>Province of New Brunswick</b:Corporate>
      </b:Author>
    </b:Author>
    <b:YearAccessed>2021</b:YearAccessed>
    <b:MonthAccessed>10</b:MonthAccessed>
    <b:DayAccessed>4</b:DayAccessed>
    <b:URL>https://www2.gnb.ca/content/dam/gnb/Departments/ed/pdf/Publications/ExpectingTheBest-AngloSummary.pdf</b:URL>
    <b:RefOrder>102</b:RefOrder>
  </b:Source>
  <b:Source>
    <b:Tag>Bak17</b:Tag>
    <b:SourceType>JournalArticle</b:SourceType>
    <b:Guid>{A070A1A2-097C-4DE7-86AC-333C35F5BBC3}</b:Guid>
    <b:Title>Mandatory Indigenous curriculum part of N.B.'s 10-year education plan</b:Title>
    <b:Year>2017</b:Year>
    <b:Author>
      <b:Author>
        <b:NameList>
          <b:Person>
            <b:Last>Baker</b:Last>
            <b:First>Oscar</b:First>
          </b:Person>
        </b:NameList>
      </b:Author>
    </b:Author>
    <b:YearAccessed>2021</b:YearAccessed>
    <b:MonthAccessed>10</b:MonthAccessed>
    <b:DayAccessed>4</b:DayAccessed>
    <b:URL>https://www.cbc.ca/news/canada/new-brunswick/indigenous-curriculum-changes-2017-1.3998217</b:URL>
    <b:JournalName>CBC News</b:JournalName>
    <b:Month>2</b:Month>
    <b:Day>27</b:Day>
    <b:RefOrder>103</b:RefOrder>
  </b:Source>
  <b:Source>
    <b:Tag>Edu18</b:Tag>
    <b:SourceType>Report</b:SourceType>
    <b:Guid>{71A0B993-88E9-4B36-9E85-033FB114EADE}</b:Guid>
    <b:Title>Education Action Plan: The way forward</b:Title>
    <b:Year>2018</b:Year>
    <b:Author>
      <b:Author>
        <b:Corporate>Education and Early Childhood Development</b:Corporate>
      </b:Author>
    </b:Author>
    <b:Publisher>Government of Newfoundland and Labrador, St John's</b:Publisher>
    <b:RefOrder>104</b:RefOrder>
  </b:Source>
  <b:Source>
    <b:Tag>Min07</b:Tag>
    <b:SourceType>Report</b:SourceType>
    <b:Guid>{F7616FFC-6654-4B0D-B60A-DF421891EA86}</b:Guid>
    <b:Author>
      <b:Author>
        <b:Corporate>Ministry of Education</b:Corporate>
      </b:Author>
    </b:Author>
    <b:Title>Ontario First Nation, Métis, and Inuit Education Policy Framework: Delivering quality education to Aboriginal students in Ontario's provincially funded schools</b:Title>
    <b:Year>2007</b:Year>
    <b:Publisher>Aboriginal Education Office, Government of Ontario</b:Publisher>
    <b:YearAccessed>2021</b:YearAccessed>
    <b:MonthAccessed>10</b:MonthAccessed>
    <b:DayAccessed>4</b:DayAccessed>
    <b:URL>http://www.edu.gov.on.ca/eng/aboriginal/fnmiFramework.pdf</b:URL>
    <b:RefOrder>105</b:RefOrder>
  </b:Source>
  <b:Source>
    <b:Tag>Min01</b:Tag>
    <b:SourceType>Report</b:SourceType>
    <b:Guid>{C6C7EA73-1871-4A13-99B1-8C31BE3C7CF9}</b:Guid>
    <b:Author>
      <b:Author>
        <b:Corporate>Ministry of Education</b:Corporate>
      </b:Author>
    </b:Author>
    <b:Title>Québec Education Program Approved Version: Preschool Education, Elementary Education</b:Title>
    <b:Year>2001</b:Year>
    <b:Publisher>Gouvernement du Québec</b:Publisher>
    <b:YearAccessed>2021</b:YearAccessed>
    <b:MonthAccessed>10</b:MonthAccessed>
    <b:DayAccessed>4</b:DayAccessed>
    <b:URL>http://www.education.gouv.qc.ca/fileadmin/site_web/documents/PFEQ/educprg2001.pdf</b:URL>
    <b:RefOrder>106</b:RefOrder>
  </b:Source>
  <b:Source>
    <b:Tag>Min04</b:Tag>
    <b:SourceType>Report</b:SourceType>
    <b:Guid>{19FCA9F1-A33D-4336-BC5D-9297B562BCE8}</b:Guid>
    <b:Author>
      <b:Author>
        <b:Corporate>Ministry of Education</b:Corporate>
      </b:Author>
    </b:Author>
    <b:Title>Québec Education Program Secondary School Education, Cycle One</b:Title>
    <b:Year>2004</b:Year>
    <b:Publisher>Gouvernement du Québec</b:Publisher>
    <b:YearAccessed>2021</b:YearAccessed>
    <b:MonthAccessed>10</b:MonthAccessed>
    <b:DayAccessed>4</b:DayAccessed>
    <b:URL>http://www.education.gouv.qc.ca/fileadmin/site_web/documents/PFEQ/qepsecfirstcycle.pdf</b:URL>
    <b:RefOrder>107</b:RefOrder>
  </b:Source>
  <b:Source>
    <b:Tag>Kat11</b:Tag>
    <b:SourceType>Report</b:SourceType>
    <b:Guid>{0A5BFEBA-B19E-42F6-9372-548D15BAAD85}</b:Guid>
    <b:Author>
      <b:Author>
        <b:Corporate>Kativik School Board</b:Corporate>
      </b:Author>
    </b:Author>
    <b:Title>Policy on languages of instruction</b:Title>
    <b:Year>2011</b:Year>
    <b:YearAccessed>2021</b:YearAccessed>
    <b:MonthAccessed>10</b:MonthAccessed>
    <b:DayAccessed>4</b:DayAccessed>
    <b:URL>https://www.kativik.qc.ca/wp-content/uploads/2017/08/adm-13-p-lang-inst-2011_e.pdf</b:URL>
    <b:RefOrder>108</b:RefOrder>
  </b:Source>
  <b:Source>
    <b:Tag>Tay08</b:Tag>
    <b:SourceType>JournalArticle</b:SourceType>
    <b:Guid>{040DE281-1FF3-407B-98D8-18D12D5DCFB8}</b:Guid>
    <b:Author>
      <b:Author>
        <b:NameList>
          <b:Person>
            <b:Last>Taylor</b:Last>
            <b:First>Donald</b:First>
            <b:Middle>M.</b:Middle>
          </b:Person>
          <b:Person>
            <b:Last>Caouette</b:Last>
            <b:First>Julie,</b:First>
            <b:Middle>Usborne, Esther</b:Middle>
          </b:Person>
          <b:Person>
            <b:Last>Wright</b:Last>
            <b:First>Stephen</b:First>
            <b:Middle>C.</b:Middle>
          </b:Person>
        </b:NameList>
      </b:Author>
    </b:Author>
    <b:Title>Aboriginal Languages in Quebec: Fighting Linguicide with Bilingual Education</b:Title>
    <b:Year>2008</b:Year>
    <b:DOI>https://doi.org/10.7202/019562ar</b:DOI>
    <b:Pages>69-89</b:Pages>
    <b:JournalName>Diversité urbaine</b:JournalName>
    <b:RefOrder>109</b:RefOrder>
  </b:Source>
  <b:Source>
    <b:Tag>Cop14</b:Tag>
    <b:SourceType>JournalArticle</b:SourceType>
    <b:Guid>{399BBD0F-62CB-4FE0-BCB3-3D651FBF90A6}</b:Guid>
    <b:Author>
      <b:Author>
        <b:NameList>
          <b:Person>
            <b:Last>Coppens</b:Last>
            <b:First>A.</b:First>
            <b:Middle>D. et al</b:Middle>
          </b:Person>
        </b:NameList>
      </b:Author>
    </b:Author>
    <b:Title>Learning by observing and pitching in. Benefits and processes of expanding repertoires</b:Title>
    <b:JournalName>Human Development</b:JournalName>
    <b:Year>2014</b:Year>
    <b:Volume>57</b:Volume>
    <b:RefOrder>110</b:RefOrder>
  </b:Source>
  <b:Source>
    <b:Tag>Kor09</b:Tag>
    <b:SourceType>Book</b:SourceType>
    <b:Guid>{A64CC90E-230E-420C-BC6B-AE2EDD6D410A}</b:Guid>
    <b:Title>Native American language ideologies: Beliefs, practices, and struggles in Indian country</b:Title>
    <b:Year>2009</b:Year>
    <b:Publisher>The University of Arizona Press, Tucson, AZ</b:Publisher>
    <b:Author>
      <b:Editor>
        <b:NameList>
          <b:Person>
            <b:Last>Korskrity</b:Last>
            <b:First>P.</b:First>
          </b:Person>
          <b:Person>
            <b:Last>Field</b:Last>
            <b:First>M.</b:First>
          </b:Person>
        </b:NameList>
      </b:Editor>
    </b:Author>
    <b:RefOrder>112</b:RefOrder>
  </b:Source>
  <b:Source>
    <b:Tag>DeK17</b:Tag>
    <b:SourceType>BookSection</b:SourceType>
    <b:Guid>{7BE79765-10F3-4DDC-9385-A96C20867F53}</b:Guid>
    <b:Title>Reclaiming languages: Contesting and decolonising 'language endangerment' from the ground up</b:Title>
    <b:Year>2017</b:Year>
    <b:Volume>14</b:Volume>
    <b:BookTitle>Language Documentation and Descroption</b:BookTitle>
    <b:Publisher>EL Publishing, London</b:Publisher>
    <b:Author>
      <b:Editor>
        <b:NameList>
          <b:Person>
            <b:Last>Leonard</b:Last>
            <b:Middle>Y.</b:Middle>
            <b:First>W.</b:First>
          </b:Person>
          <b:Person>
            <b:Last>de Korne</b:Last>
            <b:First>H. </b:First>
          </b:Person>
        </b:NameList>
      </b:Editor>
      <b:Author>
        <b:NameList>
          <b:Person>
            <b:Last>De Korne</b:Last>
            <b:First>H.</b:First>
          </b:Person>
          <b:Person>
            <b:Last>Leonard</b:Last>
            <b:First>W.</b:First>
            <b:Middle>Y.</b:Middle>
          </b:Person>
        </b:NameList>
      </b:Author>
    </b:Author>
    <b:Medium>Book chapter</b:Medium>
    <b:RefOrder>111</b:RefOrder>
  </b:Source>
  <b:Source>
    <b:Tag>Mey17</b:Tag>
    <b:SourceType>JournalArticle</b:SourceType>
    <b:Guid>{11E30AC5-AD10-408D-B19C-AD0C3B7461E4}</b:Guid>
    <b:Title>Resisting Westernization and school reforms: Two sides to the struggle to communalize developmentally appropriate initial education in Indigenous Oaxaca, Mexico</b:Title>
    <b:Year>2017</b:Year>
    <b:Volume>14</b:Volume>
    <b:Author>
      <b:Author>
        <b:NameList>
          <b:Person>
            <b:Last>Meyer</b:Last>
            <b:First>L.</b:First>
            <b:Middle>M.</b:Middle>
          </b:Person>
        </b:NameList>
      </b:Author>
    </b:Author>
    <b:JournalName>Global Education Review</b:JournalName>
    <b:RefOrder>113</b:RefOrder>
  </b:Source>
  <b:Source>
    <b:Tag>Rog01</b:Tag>
    <b:SourceType>Book</b:SourceType>
    <b:Guid>{54CB1D49-DACA-45E9-9C69-C62F0AC54081}</b:Guid>
    <b:Title>Learning together: Children and adults in a school community</b:Title>
    <b:Year>2001</b:Year>
    <b:Author>
      <b:Author>
        <b:NameList>
          <b:Person>
            <b:Last>Rogoff</b:Last>
            <b:First>B.</b:First>
          </b:Person>
          <b:Person>
            <b:Last>Goodman Turkanis</b:Last>
            <b:First>C.</b:First>
          </b:Person>
          <b:Person>
            <b:Last>Bartlett</b:Last>
            <b:First>L.</b:First>
          </b:Person>
        </b:NameList>
      </b:Author>
    </b:Author>
    <b:Publisher>Oxford University Press, New York</b:Publisher>
    <b:RefOrder>114</b:RefOrder>
  </b:Source>
  <b:Source>
    <b:Tag>Büh08</b:Tag>
    <b:SourceType>Report</b:SourceType>
    <b:Guid>{A8B07B93-B91B-499A-82C8-CBEBFBC27390}</b:Guid>
    <b:Title>Mother tongue matters: Local language as a key to effective learning</b:Title>
    <b:Year>2008</b:Year>
    <b:Publisher>UNESCO, Paris</b:Publisher>
    <b:Author>
      <b:Author>
        <b:NameList>
          <b:Person>
            <b:Last>Bühmann</b:Last>
            <b:First>D.</b:First>
          </b:Person>
          <b:Person>
            <b:Last>Trudell</b:Last>
            <b:First>B.</b:First>
          </b:Person>
        </b:NameList>
      </b:Author>
    </b:Author>
    <b:YearAccessed>2021</b:YearAccessed>
    <b:MonthAccessed>10</b:MonthAccessed>
    <b:DayAccessed>4</b:DayAccessed>
    <b:URL>https://unesdoc.unesco.org/in/rest/annotationSVC/DownloadWatermarkedAttachment/attach_import_d3cd4d72-f0df-44d3-affa-2829904695f3?_=161121eng.pdf</b:URL>
    <b:RefOrder>115</b:RefOrder>
  </b:Source>
  <b:Source>
    <b:Tag>Ben05</b:Tag>
    <b:SourceType>JournalArticle</b:SourceType>
    <b:Guid>{1FF04B63-3AEB-47B6-84D1-B2EAEF19E3A3}</b:Guid>
    <b:Title>In their own language...Education for all</b:Title>
    <b:Year>2005</b:Year>
    <b:YearAccessed>2021</b:YearAccessed>
    <b:MonthAccessed>102</b:MonthAccessed>
    <b:DayAccessed>4</b:DayAccessed>
    <b:URL>http://documents.worldbank.org/curated/en/374241468763515925/pdf/389060Language00of1Instruct01PUBLIC1.pdf</b:URL>
    <b:Author>
      <b:Author>
        <b:Corporate>Bender, P. et al</b:Corporate>
      </b:Author>
    </b:Author>
    <b:JournalName>World Bank Education Notes</b:JournalName>
    <b:Month>June</b:Month>
    <b:RefOrder>116</b:RefOrder>
  </b:Source>
  <b:Source>
    <b:Tag>UNE07</b:Tag>
    <b:SourceType>Report</b:SourceType>
    <b:Guid>{0355BC38-2E58-4985-AD80-D769F037A755}</b:Guid>
    <b:Title>Advocacy kit for promoting multilingual education: Including the excluded</b:Title>
    <b:Year>2007</b:Year>
    <b:URL>https://unesdoc.unesco.org/ark:/48223/pf0000152198</b:URL>
    <b:Author>
      <b:Author>
        <b:Corporate>UNESCO Office Bangkok and Regional Bureau for Education in Asia and the Pacific</b:Corporate>
      </b:Author>
    </b:Author>
    <b:Publisher>UNESCO, Bangkok</b:Publisher>
    <b:YearAccessed>2021</b:YearAccessed>
    <b:MonthAccessed>10</b:MonthAccessed>
    <b:DayAccessed>4</b:DayAccessed>
    <b:RefOrder>117</b:RefOrder>
  </b:Source>
  <b:Source>
    <b:Tag>MAc17</b:Tag>
    <b:SourceType>JournalArticle</b:SourceType>
    <b:Guid>{292E18DD-FAE2-4A9A-A6EB-BECC51E8888E}</b:Guid>
    <b:Title>Three Theories of the Effects of Language Education Programs: An Empirical Evaluation of Bilingual and English-Only Policies</b:Title>
    <b:Year>2017</b:Year>
    <b:Author>
      <b:Author>
        <b:NameList>
          <b:Person>
            <b:Last>Macswan</b:Last>
            <b:First>Jeff</b:First>
          </b:Person>
          <b:Person>
            <b:Last>Thompson</b:Last>
            <b:First>Marilyn</b:First>
          </b:Person>
          <b:Person>
            <b:Last>Rolstad</b:Last>
            <b:First>Kellie</b:First>
          </b:Person>
          <b:Person>
            <b:Last>McAlister</b:Last>
            <b:First>Kara</b:First>
          </b:Person>
          <b:Person>
            <b:Last>Lobo</b:Last>
            <b:First>Gerda</b:First>
          </b:Person>
        </b:NameList>
      </b:Author>
    </b:Author>
    <b:JournalName>Annual Review of Applied Linguistics</b:JournalName>
    <b:Volume>37</b:Volume>
    <b:DOI>https://doi.org/10.1017/S0267190517000137</b:DOI>
    <b:RefOrder>118</b:RefOrder>
  </b:Source>
  <b:Source>
    <b:Tag>Usb</b:Tag>
    <b:SourceType>JournalArticle</b:SourceType>
    <b:Guid>{D7348C23-042C-4660-B6C7-539E47564512}</b:Guid>
    <b:Author>
      <b:Author>
        <b:NameList>
          <b:Person>
            <b:Last>Usborne</b:Last>
            <b:First>Esther</b:First>
          </b:Person>
          <b:Person>
            <b:Last>Caouette</b:Last>
            <b:First>Julie</b:First>
          </b:Person>
          <b:Person>
            <b:Last>Qumaaluk</b:Last>
            <b:First>Qiallak</b:First>
          </b:Person>
          <b:Person>
            <b:Last>Taylor</b:Last>
            <b:First>Donald</b:First>
            <b:Middle>M.</b:Middle>
          </b:Person>
        </b:NameList>
      </b:Author>
    </b:Author>
    <b:Title>Bilingual education in an Aboriginal context: examining the transfer of language skills from Inuktitut to English or French</b:Title>
    <b:JournalName>International Journal of Bilingual Education and Bilingualism</b:JournalName>
    <b:Pages>667-684</b:Pages>
    <b:Volume>12</b:Volume>
    <b:DOI>https://doi.org/10.1080/13670050802684388</b:DOI>
    <b:Year>2009</b:Year>
    <b:RefOrder>119</b:RefOrder>
  </b:Source>
  <b:Source>
    <b:Tag>Pin09</b:Tag>
    <b:SourceType>Report</b:SourceType>
    <b:Guid>{061CBA52-D514-461D-B15F-F052E0F4FB38}</b:Guid>
    <b:Title>Language and education: the missing link: How the language used in schools threatens the achievement of Edcuation for All</b:Title>
    <b:Year>2009</b:Year>
    <b:URL>https://resourcecentre.savethechildren.net/node/1674/pdf/1674.pdf</b:URL>
    <b:Author>
      <b:Author>
        <b:NameList>
          <b:Person>
            <b:Last>Pinnock</b:Last>
            <b:First>Helen</b:First>
          </b:Person>
        </b:NameList>
      </b:Author>
    </b:Author>
    <b:Publisher>Save the Children International/CFBT Education Trust, Berkshire</b:Publisher>
    <b:YearAccessed>2021</b:YearAccessed>
    <b:MonthAccessed>10</b:MonthAccessed>
    <b:DayAccessed>4</b:DayAccessed>
    <b:RefOrder>120</b:RefOrder>
  </b:Source>
  <b:Source>
    <b:Tag>Pin11</b:Tag>
    <b:SourceType>Report</b:SourceType>
    <b:Guid>{BA664370-FBC1-4EBA-BA85-30967BD595DB}</b:Guid>
    <b:Author>
      <b:Author>
        <b:NameList>
          <b:Person>
            <b:Last>Pinnock</b:Last>
            <b:First>Helen</b:First>
          </b:Person>
        </b:NameList>
      </b:Author>
    </b:Author>
    <b:Title>Closer to home: how to help schools in low- and middle-income countries respond to children's language needs</b:Title>
    <b:Year>2011</b:Year>
    <b:Publisher>Save the Children International/CFBT Education Trust, Berkshire</b:Publisher>
    <b:YearAccessed>2021</b:YearAccessed>
    <b:MonthAccessed>10</b:MonthAccessed>
    <b:DayAccessed>4</b:DayAccessed>
    <b:URL>https://resourcecentre.savethechildren.net/node/5471/pdf/5471.pdf</b:URL>
    <b:RefOrder>122</b:RefOrder>
  </b:Source>
  <b:Source>
    <b:Tag>Pin111</b:Tag>
    <b:SourceType>Report</b:SourceType>
    <b:Guid>{F463B51B-F66F-4A4A-9914-CDB0422796B3}</b:Guid>
    <b:Author>
      <b:Author>
        <b:NameList>
          <b:Person>
            <b:Last>Pinnock</b:Last>
            <b:First>Helen</b:First>
          </b:Person>
        </b:NameList>
      </b:Author>
    </b:Author>
    <b:Title>Steps towards learning: A guide to overcoming language barriers in children's education</b:Title>
    <b:Year>2009</b:Year>
    <b:Publisher>Save the Children Insternational/CFBT Education Trust, Berkshire</b:Publisher>
    <b:YearAccessed>2021</b:YearAccessed>
    <b:MonthAccessed>10</b:MonthAccessed>
    <b:DayAccessed>4</b:DayAccessed>
    <b:URL>https://resourcecentre.savethechildren.net/node/1754/pdf/1754.pdf</b:URL>
    <b:RefOrder>121</b:RefOrder>
  </b:Source>
  <b:Source>
    <b:Tag>Ben16</b:Tag>
    <b:SourceType>Report</b:SourceType>
    <b:Guid>{60717757-5C82-4FB5-BEA1-D7523C03C702}</b:Guid>
    <b:Author>
      <b:Author>
        <b:NameList>
          <b:Person>
            <b:Last>Benson</b:Last>
            <b:First>C.</b:First>
          </b:Person>
        </b:NameList>
      </b:Author>
    </b:Author>
    <b:Title>Addressing language of instruction issues in education: Recommendations for documenting progress. Background paper prepared for the 2016 Global Education Monitoring Report: Education for people and planet: Creating sustainable futures for all</b:Title>
    <b:Year>2016</b:Year>
    <b:Publisher>UNESCO, Paris</b:Publisher>
    <b:YearAccessed>2021</b:YearAccessed>
    <b:MonthAccessed>10</b:MonthAccessed>
    <b:DayAccessed>4</b:DayAccessed>
    <b:URL>https://gcedclearinghouse.org/sites/default/files/resources/245575e.pdf</b:URL>
    <b:RefOrder>123</b:RefOrder>
  </b:Source>
  <b:Source>
    <b:Tag>Bal11</b:Tag>
    <b:SourceType>Report</b:SourceType>
    <b:Guid>{4D9A3435-1A7D-486D-A1B9-3A41A2B8DAE2}</b:Guid>
    <b:Author>
      <b:Author>
        <b:NameList>
          <b:Person>
            <b:Last>Ball</b:Last>
            <b:First>Jessica</b:First>
          </b:Person>
        </b:NameList>
      </b:Author>
    </b:Author>
    <b:Title>Enhancing learning of children from diverse language backgrounds: Mother-tongue based bilingual or multilingual education in the early years</b:Title>
    <b:Year>2011</b:Year>
    <b:Publisher>UNESCO, Paris</b:Publisher>
    <b:YearAccessed>2021</b:YearAccessed>
    <b:MonthAccessed>10</b:MonthAccessed>
    <b:DayAccessed>4</b:DayAccessed>
    <b:URL>https://unesdoc.unesco.org/ark:/48223/pf0000212270</b:URL>
    <b:RefOrder>124</b:RefOrder>
  </b:Source>
  <b:Source>
    <b:Tag>Ben051</b:Tag>
    <b:SourceType>Report</b:SourceType>
    <b:Guid>{16415AD1-9C28-4D7C-BADE-5CAE846D1F39}</b:Guid>
    <b:Author>
      <b:Author>
        <b:NameList>
          <b:Person>
            <b:Last>Benson</b:Last>
            <b:First>Carole</b:First>
          </b:Person>
        </b:NameList>
      </b:Author>
    </b:Author>
    <b:Title>The importance of mother tongue-based schooling for educational quality. Background paper prepared for the Education for All Global Monitoring Report 2005. The Quality Imperative</b:Title>
    <b:Year>2005</b:Year>
    <b:Publisher>UNESCO, Paris</b:Publisher>
    <b:YearAccessed>2021</b:YearAccessed>
    <b:MonthAccessed>10</b:MonthAccessed>
    <b:DayAccessed>4</b:DayAccessed>
    <b:URL>https://unesdoc.unesco.org/ark:/48223/pf0000146632</b:URL>
    <b:RefOrder>125</b:RefOrder>
  </b:Source>
  <b:Source>
    <b:Tag>Win99</b:Tag>
    <b:SourceType>JournalArticle</b:SourceType>
    <b:Guid>{5A70115F-9727-4E70-9BFD-5F7960AA3A32}</b:Guid>
    <b:Title>When Learning a Second Language Does Not Mean Losing the First: Bilingual Language Development in Low-Income, Spanish-Speaking Children Attending</b:Title>
    <b:Year>1999</b:Year>
    <b:Author>
      <b:Author>
        <b:NameList>
          <b:Person>
            <b:Last>Winsler</b:Last>
            <b:First>A.</b:First>
            <b:Middle>R.</b:Middle>
          </b:Person>
          <b:Person>
            <b:Last>Díaz</b:Last>
            <b:First>M.</b:First>
          </b:Person>
          <b:Person>
            <b:Last>Espinosa</b:Last>
            <b:First>L.</b:First>
          </b:Person>
          <b:Person>
            <b:Last>Rodríguez</b:Last>
            <b:First>J.</b:First>
          </b:Person>
        </b:NameList>
      </b:Author>
    </b:Author>
    <b:JournalName>Child Development</b:JournalName>
    <b:Pages>349-362</b:Pages>
    <b:Volume>70</b:Volume>
    <b:RefOrder>126</b:RefOrder>
  </b:Source>
  <b:Source>
    <b:Tag>Gar07</b:Tag>
    <b:SourceType>JournalArticle</b:SourceType>
    <b:Guid>{F1008840-54A7-4739-8355-A82F7296C1D8}</b:Guid>
    <b:Author>
      <b:Author>
        <b:NameList>
          <b:Person>
            <b:Last>Garcia</b:Last>
            <b:First>O.</b:First>
          </b:Person>
          <b:Person>
            <b:Last>Bartlett</b:Last>
            <b:First>L.</b:First>
          </b:Person>
        </b:NameList>
      </b:Author>
    </b:Author>
    <b:Title>A speech community model of bilingual education: Educating Latino newcomers in the USA</b:Title>
    <b:JournalName>International Journal of Bilingual Education and Bilingualism</b:JournalName>
    <b:Year>2007</b:Year>
    <b:Volume>10</b:Volume>
    <b:RefOrder>127</b:RefOrder>
  </b:Source>
  <b:Source>
    <b:Tag>DeJ02</b:Tag>
    <b:SourceType>JournalArticle</b:SourceType>
    <b:Guid>{2F697CC6-B3EA-4AC2-AE9F-6B98E76B8852}</b:Guid>
    <b:Author>
      <b:Author>
        <b:NameList>
          <b:Person>
            <b:Last>De Jong</b:Last>
            <b:First>E.</b:First>
          </b:Person>
        </b:NameList>
      </b:Author>
    </b:Author>
    <b:Title>Effective bilingual education: From theory to academic achievement in a two-way bilingual program</b:Title>
    <b:JournalName>Bilingual Research Journal</b:JournalName>
    <b:Year>2002</b:Year>
    <b:Volume>26</b:Volume>
    <b:Issue>1</b:Issue>
    <b:RefOrder>128</b:RefOrder>
  </b:Source>
  <b:Source>
    <b:Tag>Gen12</b:Tag>
    <b:SourceType>BookSection</b:SourceType>
    <b:Guid>{DAF9897D-D36F-4D6D-837E-A14F190713E9}</b:Guid>
    <b:Title>The education of English language learners</b:Title>
    <b:Year>2012</b:Year>
    <b:Author>
      <b:Author>
        <b:NameList>
          <b:Person>
            <b:Last>Genesee</b:Last>
            <b:First>F.</b:First>
          </b:Person>
          <b:Person>
            <b:Last>Lindholm-Leary</b:Last>
            <b:First>K.</b:First>
          </b:Person>
        </b:NameList>
      </b:Author>
      <b:Editor>
        <b:NameList>
          <b:Person>
            <b:Last>Harris</b:Last>
            <b:Middle>R. </b:Middle>
            <b:First>Karen</b:First>
          </b:Person>
          <b:Person>
            <b:Last>Graham</b:Last>
            <b:First>Steve</b:First>
          </b:Person>
          <b:Person>
            <b:Last>Urdan, Tim</b:Last>
          </b:Person>
          <b:Person>
            <b:Last>Bus</b:Last>
            <b:Middle>G. </b:Middle>
            <b:First>Adriana</b:First>
          </b:Person>
          <b:Person>
            <b:Last>Major</b:Last>
            <b:First>Sonya</b:First>
          </b:Person>
          <b:Person>
            <b:Last>Swanson</b:Last>
            <b:Middle>Lee</b:Middle>
            <b:First>H.</b:First>
          </b:Person>
        </b:NameList>
      </b:Editor>
    </b:Author>
    <b:BookTitle>APA educational psychology handbook, Vol 3: Application to learning and teaching</b:BookTitle>
    <b:Publisher>American Psychological Association, Washington DC</b:Publisher>
    <b:Medium>Book chapter</b:Medium>
    <b:RefOrder>129</b:RefOrder>
  </b:Source>
  <b:Source>
    <b:Tag>Gar14</b:Tag>
    <b:SourceType>BookSection</b:SourceType>
    <b:Guid>{50E00003-6D24-43CA-9B7F-416CBB696D9F}</b:Guid>
    <b:Title>Translanguaging and Education</b:Title>
    <b:BookTitle>Translanguaging: Language, Bilingualism and Education</b:BookTitle>
    <b:Year>2014</b:Year>
    <b:Publisher>Palgrave, Macmillan, UK</b:Publisher>
    <b:Medium>Book chapter</b:Medium>
    <b:Author>
      <b:Editor>
        <b:NameList>
          <b:Person>
            <b:Last>García</b:Last>
            <b:First>O.</b:First>
          </b:Person>
          <b:Person>
            <b:Last>Wei</b:Last>
            <b:First>L.</b:First>
          </b:Person>
        </b:NameList>
      </b:Editor>
      <b:Author>
        <b:NameList>
          <b:Person>
            <b:Last>García</b:Last>
            <b:First>O.</b:First>
          </b:Person>
          <b:Person>
            <b:Last>Wei</b:Last>
            <b:First>L.</b:First>
          </b:Person>
        </b:NameList>
      </b:Author>
    </b:Author>
    <b:RefOrder>130</b:RefOrder>
  </b:Source>
  <b:Source>
    <b:Tag>Wei11</b:Tag>
    <b:SourceType>JournalArticle</b:SourceType>
    <b:Guid>{A647C1D1-EEB2-4964-9DD6-9AAB8AD17B36}</b:Guid>
    <b:Title>Moment analysis and translanguaging space: Discursive construction of identities by multilingual Chinese youth in Britain</b:Title>
    <b:Year>2011</b:Year>
    <b:Volume>43</b:Volume>
    <b:Author>
      <b:Author>
        <b:NameList>
          <b:Person>
            <b:Last>Wei</b:Last>
            <b:First>L.</b:First>
          </b:Person>
        </b:NameList>
      </b:Author>
    </b:Author>
    <b:JournalName>Journal of Pragmatics</b:JournalName>
    <b:Pages>1222-1235</b:Pages>
    <b:RefOrder>131</b:RefOrder>
  </b:Source>
  <b:Source>
    <b:Tag>Bob17</b:Tag>
    <b:SourceType>JournalArticle</b:SourceType>
    <b:Guid>{BAF235B1-5156-4B12-B6BD-2EE48B9F3EEA}</b:Guid>
    <b:Author>
      <b:Author>
        <b:NameList>
          <b:Person>
            <b:Last>Bobongie</b:Last>
            <b:First>F.</b:First>
          </b:Person>
        </b:NameList>
      </b:Author>
    </b:Author>
    <b:Title>Ngoelmun Yawar, Our Journey: The Transition and the Challenges for Female Students Leaving Torres Strait Island Communities for Boarding Schools in Regional Queensland</b:Title>
    <b:JournalName>The Australian Journal of Indigenous Education</b:JournalName>
    <b:Year>2017</b:Year>
    <b:Pages>127-136</b:Pages>
    <b:Volume>46</b:Volume>
    <b:Issue>2</b:Issue>
    <b:RefOrder>132</b:RefOrder>
  </b:Source>
  <b:Source>
    <b:Tag>Sie10</b:Tag>
    <b:SourceType>Book</b:SourceType>
    <b:Guid>{2E037724-7787-427D-9DAF-7A3F1B2073A4}</b:Guid>
    <b:Title>Second Dialect Acquisition</b:Title>
    <b:Year>2010</b:Year>
    <b:Author>
      <b:Author>
        <b:NameList>
          <b:Person>
            <b:Last>Siegel</b:Last>
            <b:First>Jeff</b:First>
          </b:Person>
        </b:NameList>
      </b:Author>
    </b:Author>
    <b:Publisher>Cambridge University Press, Cambridge</b:Publisher>
    <b:RefOrder>133</b:RefOrder>
  </b:Source>
  <b:Source>
    <b:Tag>Kos17</b:Tag>
    <b:SourceType>Report</b:SourceType>
    <b:Guid>{90FA3285-B1C1-4074-AD24-9015EF3069B8}</b:Guid>
    <b:Title>Language of instruction in Southeast Asia. Background paper prepared for the 2016 Global Education Monitoring Report, Education for people and planet: Creating sustainable futures for all</b:Title>
    <b:Year>2017</b:Year>
    <b:Publisher>UNESCO, Paris</b:Publisher>
    <b:URL>https://unesdoc.unesco.org/ark:/48223/pf0000259576</b:URL>
    <b:Author>
      <b:Author>
        <b:NameList>
          <b:Person>
            <b:Last>Kosonen</b:Last>
            <b:First>K.=immo</b:First>
          </b:Person>
        </b:NameList>
      </b:Author>
    </b:Author>
    <b:YearAccessed>2021</b:YearAccessed>
    <b:MonthAccessed>10</b:MonthAccessed>
    <b:DayAccessed>4</b:DayAccessed>
    <b:RefOrder>134</b:RefOrder>
  </b:Source>
  <b:Source>
    <b:Tag>CrossRef_aAgbkyS0iKBO9bq__BWT39Q</b:Tag>
    <b:SourceType>BookSection</b:SourceType>
    <b:Year>2019</b:Year>
    <b:Publisher>Routledge, New York</b:Publisher>
    <b:Author>
      <b:Editor>
        <b:NameList>
          <b:Person>
            <b:Last>Mickan</b:Last>
            <b:First>Peter</b:First>
          </b:Person>
          <b:Person>
            <b:Last>Wallace</b:Last>
            <b:First>Ilona</b:First>
          </b:Person>
        </b:NameList>
      </b:Editor>
      <b:Author>
        <b:NameList>
          <b:Person>
            <b:Last>Carter</b:Last>
            <b:First>M.</b:First>
          </b:Person>
          <b:Person>
            <b:Last>Angelo</b:Last>
            <b:First>D.</b:First>
          </b:Person>
          <b:Person>
            <b:Last>Hudson</b:Last>
            <b:First>C.</b:First>
          </b:Person>
        </b:NameList>
      </b:Author>
    </b:Author>
    <b:StandardNumber>9781315661032</b:StandardNumber>
    <b:DOI>10.4324/9781315661032</b:DOI>
    <b:LCID>en-US</b:LCID>
    <b:Version>CrossRef</b:Version>
    <b:Guid>{855DC5CC-270A-448B-ACD8-B6FCBBC32D20}</b:Guid>
    <b:BookTitle>The Routledge Handbook of Language Education Curriculum Design</b:BookTitle>
    <b:Title>Translanguaging the curriculum: A critical language awareness curriculum for silenced Indigenous voices</b:Title>
    <b:Medium>Book chapter</b:Medium>
    <b:RefOrder>135</b:RefOrder>
  </b:Source>
  <b:Source>
    <b:Tag>Bac90</b:Tag>
    <b:SourceType>Book</b:SourceType>
    <b:Guid>{C979B4B3-7544-455B-8199-EAEA5D32ABF2}</b:Guid>
    <b:Title>Fundamental considerations in language testing</b:Title>
    <b:Year>1990</b:Year>
    <b:Publisher>Ocford University Press, Oxford</b:Publisher>
    <b:Author>
      <b:Author>
        <b:NameList>
          <b:Person>
            <b:Last>Backman</b:Last>
            <b:First>L.</b:First>
            <b:Middle>F.</b:Middle>
          </b:Person>
        </b:NameList>
      </b:Author>
    </b:Author>
    <b:RefOrder>136</b:RefOrder>
  </b:Source>
  <b:Source>
    <b:Tag>Sav82</b:Tag>
    <b:SourceType>Book</b:SourceType>
    <b:Guid>{DA3208A0-CCDC-4566-87EB-45549FDC86E5}</b:Guid>
    <b:Author>
      <b:Author>
        <b:NameList>
          <b:Person>
            <b:Last>Saville-Troike</b:Last>
            <b:First>M.</b:First>
          </b:Person>
        </b:NameList>
      </b:Author>
    </b:Author>
    <b:Title>The ethnography of communication: An introduction</b:Title>
    <b:Year>1982</b:Year>
    <b:Publisher>WIley Blackwell, London/Malden</b:Publisher>
    <b:RefOrder>137</b:RefOrder>
  </b:Source>
  <b:Source>
    <b:Tag>Cor75</b:Tag>
    <b:SourceType>JournalArticle</b:SourceType>
    <b:Guid>{B72715CB-1180-45DC-8EA3-C2541569ECD9}</b:Guid>
    <b:Title>Error analysis, interlanguage and second language acquisition</b:Title>
    <b:Year>1975</b:Year>
    <b:Volume>8</b:Volume>
    <b:Author>
      <b:Author>
        <b:NameList>
          <b:Person>
            <b:Last>Corder</b:Last>
            <b:First>S.</b:First>
            <b:Middle>P.</b:Middle>
          </b:Person>
        </b:NameList>
      </b:Author>
    </b:Author>
    <b:JournalName>Language teaching</b:JournalName>
    <b:RefOrder>138</b:RefOrder>
  </b:Source>
  <b:Source>
    <b:Tag>Cum91</b:Tag>
    <b:SourceType>JournalArticle</b:SourceType>
    <b:Guid>{0B23B66D-4A5F-4C82-A26E-88CC26D5B676}</b:Guid>
    <b:Author>
      <b:Author>
        <b:NameList>
          <b:Person>
            <b:Last>Cummins</b:Last>
            <b:First>J.</b:First>
          </b:Person>
        </b:NameList>
      </b:Author>
    </b:Author>
    <b:Title>Conversational and academic language proficiency in bilingual contexts</b:Title>
    <b:JournalName>Association Internationale de Linguistique (AILA)</b:JournalName>
    <b:Year>1991</b:Year>
    <b:Volume>8</b:Volume>
    <b:RefOrder>139</b:RefOrder>
  </b:Source>
  <b:Source>
    <b:Tag>Sau06</b:Tag>
    <b:SourceType>BookSection</b:SourceType>
    <b:Guid>{EF432DC7-DE41-4825-8FEC-5C5702DD13F2}</b:Guid>
    <b:Title>Oral language</b:Title>
    <b:Year>2006</b:Year>
    <b:Pages>14-63</b:Pages>
    <b:Publisher>Cambridge University Press, New York</b:Publisher>
    <b:BookTitle>Educating English language learners: A synthesis of research evidence</b:BookTitle>
    <b:Author>
      <b:Editor>
        <b:NameList>
          <b:Person>
            <b:Last>Genesee</b:Last>
            <b:First>F.</b:First>
          </b:Person>
        </b:NameList>
      </b:Editor>
      <b:Author>
        <b:NameList>
          <b:Person>
            <b:Last>Saunders</b:Last>
            <b:First>W.</b:First>
            <b:Middle>M.</b:Middle>
          </b:Person>
          <b:Person>
            <b:Last>O'Brien</b:Last>
            <b:First>G.</b:First>
          </b:Person>
        </b:NameList>
      </b:Author>
    </b:Author>
    <b:Medium>Book chapter</b:Medium>
    <b:RefOrder>140</b:RefOrder>
  </b:Source>
  <b:Source>
    <b:Tag>Lin06</b:Tag>
    <b:SourceType>BookSection</b:SourceType>
    <b:Guid>{A6F39486-05A6-4109-9BB3-A94D9155D7E7}</b:Guid>
    <b:Title>Academic achievement</b:Title>
    <b:BookTitle>Educating English language learners: A synthesis of research evidence</b:BookTitle>
    <b:Year>2006</b:Year>
    <b:Publisher>Cambridge University Press, Cambridge</b:Publisher>
    <b:Medium>Book chapter</b:Medium>
    <b:Author>
      <b:Editor>
        <b:NameList>
          <b:Person>
            <b:Last>Genesee</b:Last>
            <b:First>Fred</b:First>
          </b:Person>
          <b:Person>
            <b:Last>Lindhom-Leary</b:Last>
            <b:First>Kathryn</b:First>
          </b:Person>
          <b:Person>
            <b:Last>Saunders</b:Last>
            <b:First>Bill</b:First>
          </b:Person>
          <b:Person>
            <b:Last>Christian</b:Last>
            <b:First>Donna</b:First>
          </b:Person>
        </b:NameList>
      </b:Editor>
      <b:Author>
        <b:NameList>
          <b:Person>
            <b:Last>Lindhom-Leary</b:Last>
            <b:First>K.</b:First>
          </b:Person>
          <b:Person>
            <b:Last>Borsato</b:Last>
            <b:First>G.</b:First>
          </b:Person>
        </b:NameList>
      </b:Author>
    </b:Author>
    <b:RefOrder>141</b:RefOrder>
  </b:Source>
  <b:Source>
    <b:Tag>Col04</b:Tag>
    <b:SourceType>JournalArticle</b:SourceType>
    <b:Guid>{E4B752F1-7213-49D7-A41A-26242FD3461C}</b:Guid>
    <b:Title>The astounding effectiveness of dual language education for all</b:Title>
    <b:Year>2004</b:Year>
    <b:Volume>2</b:Volume>
    <b:Author>
      <b:Author>
        <b:NameList>
          <b:Person>
            <b:Last>Collier</b:Last>
            <b:First>V.</b:First>
            <b:Middle>P.</b:Middle>
          </b:Person>
          <b:Person>
            <b:Last>Thomas</b:Last>
            <b:First>W.</b:First>
            <b:Middle>P.</b:Middle>
          </b:Person>
        </b:NameList>
      </b:Author>
    </b:Author>
    <b:JournalName>NABE Journal of Research and Practice</b:JournalName>
    <b:RefOrder>142</b:RefOrder>
  </b:Source>
  <b:Source>
    <b:Tag>May04</b:Tag>
    <b:SourceType>Report</b:SourceType>
    <b:Guid>{59378D1C-5DC2-4160-818F-3285F3CE478C}</b:Guid>
    <b:Title>Bilingual/immersion education: Indicators of good practice - Final report to the Minsitry of Education</b:Title>
    <b:Year>2004</b:Year>
    <b:URL>https://www.educationcounts.govt.nz/__data/assets/pdf_file/0009/6957/bilingual-education.pdf</b:URL>
    <b:Author>
      <b:Author>
        <b:NameList>
          <b:Person>
            <b:Last>May</b:Last>
            <b:First>S.</b:First>
          </b:Person>
          <b:Person>
            <b:Last>Hill</b:Last>
            <b:First>R.</b:First>
          </b:Person>
          <b:Person>
            <b:Last>Tiakiwai</b:Last>
            <b:First>S.</b:First>
          </b:Person>
        </b:NameList>
      </b:Author>
    </b:Author>
    <b:Publisher>Wilf Malcolm Institute of Educational Research, School of Education, Waikato University</b:Publisher>
    <b:YearAccessed>2021</b:YearAccessed>
    <b:MonthAccessed>10</b:MonthAccessed>
    <b:DayAccessed>4</b:DayAccessed>
    <b:RefOrder>143</b:RefOrder>
  </b:Source>
  <b:Source>
    <b:Tag>Spa09</b:Tag>
    <b:SourceType>JournalArticle</b:SourceType>
    <b:Guid>{FE74D34D-A2AB-45EB-913A-7025C837CBC6}</b:Guid>
    <b:Title>Long-term relationships among early first language skills, second language aptitude, second language affect, and later second language proficiency</b:Title>
    <b:Year>2009</b:Year>
    <b:DOI>https://doi.org/10.1017/S0142716409990099</b:DOI>
    <b:Author>
      <b:Author>
        <b:NameList>
          <b:Person>
            <b:Last>Sparks</b:Last>
            <b:First>R.</b:First>
            <b:Middle>L.</b:Middle>
          </b:Person>
          <b:Person>
            <b:Last>Patton</b:Last>
            <b:First>john</b:First>
          </b:Person>
          <b:Person>
            <b:Last>Hanschow</b:Last>
            <b:First>Leonore</b:First>
          </b:Person>
          <b:Person>
            <b:Last>Humback</b:Last>
            <b:First>Nancy</b:First>
          </b:Person>
        </b:NameList>
      </b:Author>
    </b:Author>
    <b:JournalName>Applied Psycholinguistics</b:JournalName>
    <b:Pages>725-755</b:Pages>
    <b:Volume>30</b:Volume>
    <b:Issue>4</b:Issue>
    <b:RefOrder>144</b:RefOrder>
  </b:Source>
  <b:Source>
    <b:Tag>Ree00</b:Tag>
    <b:SourceType>JournalArticle</b:SourceType>
    <b:Guid>{461D45E8-EBE6-47BD-A2CF-6B80C17DF23E}</b:Guid>
    <b:Author>
      <b:Author>
        <b:NameList>
          <b:Person>
            <b:Last>Reese</b:Last>
            <b:First>L.</b:First>
          </b:Person>
          <b:Person>
            <b:Last>Garnier</b:Last>
            <b:First>Helen</b:First>
          </b:Person>
          <b:Person>
            <b:Last>Gallimore</b:Last>
            <b:First>Ronald</b:First>
          </b:Person>
          <b:Person>
            <b:Last>Goldenberg</b:Last>
            <b:First>Claude</b:First>
          </b:Person>
        </b:NameList>
      </b:Author>
    </b:Author>
    <b:Title>Longitudinal analysis of the antecedents of emergent Spanish literacy and middle-school English reading achievement of Spanish-speaking students</b:Title>
    <b:JournalName>American Educational Research Journal</b:JournalName>
    <b:Year>2000</b:Year>
    <b:Pages>633-662</b:Pages>
    <b:Volume>37</b:Volume>
    <b:Issue>3</b:Issue>
    <b:URL>https://www.jstor.org/stable/1163484</b:URL>
    <b:YearAccessed>2021</b:YearAccessed>
    <b:MonthAccessed>10</b:MonthAccessed>
    <b:DayAccessed>4</b:DayAccessed>
    <b:RefOrder>145</b:RefOrder>
  </b:Source>
  <b:Source>
    <b:Tag>Kra82</b:Tag>
    <b:SourceType>Book</b:SourceType>
    <b:Guid>{65389DFE-1AC9-479B-886E-093A9DC85838}</b:Guid>
    <b:Title>Principles and practice in Second Language Acquisition</b:Title>
    <b:Year>1982</b:Year>
    <b:Author>
      <b:Author>
        <b:NameList>
          <b:Person>
            <b:Last>Krashen</b:Last>
            <b:First>S.</b:First>
            <b:Middle>D.</b:Middle>
          </b:Person>
        </b:NameList>
      </b:Author>
    </b:Author>
    <b:Publisher>Pergamon Press, Oxford</b:Publisher>
    <b:RefOrder>146</b:RefOrder>
  </b:Source>
  <b:Source>
    <b:Tag>CrossRef_CUJ0jo3zEHaJ8x__FK5jqvw</b:Tag>
    <b:SourceType>JournalArticle</b:SourceType>
    <b:Title>What We Know About Second Language Acquisition</b:Title>
    <b:Year>2012</b:Year>
    <b:Publisher>American Educational Research Association (AERA)</b:Publisher>
    <b:Author>
      <b:Author>
        <b:NameList>
          <b:Person>
            <b:Last>Dixon</b:Last>
            <b:First>L. Quentin</b:First>
          </b:Person>
          <b:Person>
            <b:Last>Zhao</b:Last>
            <b:First>Jing</b:First>
          </b:Person>
          <b:Person>
            <b:Last>Shin</b:Last>
            <b:First>Jee-Young</b:First>
          </b:Person>
          <b:Person>
            <b:Last>Wu</b:Last>
            <b:First>Shuang</b:First>
          </b:Person>
          <b:Person>
            <b:Last>Su</b:Last>
            <b:First>Jung-Hsuan</b:First>
          </b:Person>
          <b:Person>
            <b:Last>Burgess-Brigham</b:Last>
            <b:First>Renata</b:First>
          </b:Person>
          <b:Person>
            <b:Last>Gezer</b:Last>
            <b:First>Melike Unal</b:First>
          </b:Person>
          <b:Person>
            <b:Last>Snow</b:Last>
            <b:First>Catherine</b:First>
          </b:Person>
        </b:NameList>
      </b:Author>
    </b:Author>
    <b:Volume>82</b:Volume>
    <b:Pages>5-60</b:Pages>
    <b:JournalName>Review of Educational Research</b:JournalName>
    <b:DOI>10.3102/0034654311433587</b:DOI>
    <b:Issue>1</b:Issue>
    <b:LCID>en-US</b:LCID>
    <b:Version>CrossRef</b:Version>
    <b:RefOrder>147</b:RefOrder>
  </b:Source>
  <b:Source>
    <b:Tag>CrossRef_lBgD8_CkTLN7muzCy9Un6A</b:Tag>
    <b:SourceType>JournalArticle</b:SourceType>
    <b:Title>Age of Onset and Nativelikeness in a Second Language: Listener Perception Versus Linguistic Scrutiny</b:Title>
    <b:Year>2009</b:Year>
    <b:Publisher>Wiley</b:Publisher>
    <b:Author>
      <b:Author>
        <b:NameList>
          <b:Person>
            <b:Last>Abrahamsson</b:Last>
            <b:First>Niclas</b:First>
          </b:Person>
          <b:Person>
            <b:Last>Hyltenstam</b:Last>
            <b:First>Kenneth</b:First>
          </b:Person>
        </b:NameList>
      </b:Author>
    </b:Author>
    <b:Volume>59</b:Volume>
    <b:Pages>249-306</b:Pages>
    <b:JournalName>Language Learning</b:JournalName>
    <b:DOI>10.1111/j.1467-9922.2009.00507.x</b:DOI>
    <b:Issue>2</b:Issue>
    <b:LCID>en-US</b:LCID>
    <b:Version>CrossRef</b:Version>
    <b:RefOrder>148</b:RefOrder>
  </b:Source>
  <b:Source>
    <b:Tag>CrossRef_ZnVWJMOgULeuuF5vY23jCQ</b:Tag>
    <b:SourceType>JournalArticle</b:SourceType>
    <b:Title>Age Constraints on Second-Language Acquisition</b:Title>
    <b:Year>1999</b:Year>
    <b:Publisher>Elsevier BV</b:Publisher>
    <b:Author>
      <b:Author>
        <b:NameList>
          <b:Person>
            <b:Last>Flege</b:Last>
            <b:First>James Emil</b:First>
          </b:Person>
          <b:Person>
            <b:Last>Yeni-Komshian</b:Last>
            <b:First>Grace H.</b:First>
          </b:Person>
          <b:Person>
            <b:Last>Liu</b:Last>
            <b:First>Serena</b:First>
          </b:Person>
        </b:NameList>
      </b:Author>
    </b:Author>
    <b:Volume>41</b:Volume>
    <b:Pages>78-104</b:Pages>
    <b:JournalName>Journal of Memory and Language</b:JournalName>
    <b:DOI>10.1006/jmla.1999.2638</b:DOI>
    <b:Issue>1</b:Issue>
    <b:LCID>en-US</b:LCID>
    <b:Version>CrossRef</b:Version>
    <b:RefOrder>149</b:RefOrder>
  </b:Source>
  <b:Source>
    <b:Tag>CrossRef_xN9z3X02jePAOUhpgmomTg</b:Tag>
    <b:SourceType>JournalArticle</b:SourceType>
    <b:Title>LANGUAGE APTITUDE AND SECOND LANGUAGE PROFICIENCY IN
CLASSROOM LEARNERS OF DIFFERENT STARTING AGES</b:Title>
    <b:Year>1997</b:Year>
    <b:Publisher>Cambridge University Press (CUP)</b:Publisher>
    <b:Author>
      <b:Author>
        <b:NameList>
          <b:Person>
            <b:Last>Harley</b:Last>
            <b:First>Birgit</b:First>
          </b:Person>
          <b:Person>
            <b:Last>Hart</b:Last>
            <b:First>Doug</b:First>
          </b:Person>
        </b:NameList>
      </b:Author>
    </b:Author>
    <b:Volume>19</b:Volume>
    <b:Pages>379-400</b:Pages>
    <b:JournalName>Studies in Second Language Acquisition</b:JournalName>
    <b:DOI>10.1017/s0272263197003045</b:DOI>
    <b:Issue>3</b:Issue>
    <b:LCID>en-US</b:LCID>
    <b:Version>CrossRef</b:Version>
    <b:RefOrder>150</b:RefOrder>
  </b:Source>
  <b:Source>
    <b:Tag>CrossRef_UdWcS51os9dgfa0XM4aUjw</b:Tag>
    <b:SourceType>JournalArticle</b:SourceType>
    <b:Title>Learning English Bilingually: Age of Onset of Exposure and Rate of Acquisition Among English Language Learners in a Bilingual Education Program</b:Title>
    <b:Year>2005</b:Year>
    <b:Publisher>Informa UK Limited</b:Publisher>
    <b:Author>
      <b:Author>
        <b:NameList>
          <b:Person>
            <b:Last>MacSwan</b:Last>
            <b:First>Jeff</b:First>
          </b:Person>
          <b:Person>
            <b:Last>Pray</b:Last>
            <b:First>Lisa</b:First>
          </b:Person>
        </b:NameList>
      </b:Author>
    </b:Author>
    <b:Volume>29</b:Volume>
    <b:Pages>653-678</b:Pages>
    <b:JournalName>Bilingual Research Journal</b:JournalName>
    <b:DOI>10.1080/15235882.2005.10162857</b:DOI>
    <b:Issue>3</b:Issue>
    <b:LCID>en-US</b:LCID>
    <b:Version>CrossRef</b:Version>
    <b:RefOrder>151</b:RefOrder>
  </b:Source>
  <b:Source>
    <b:Tag>CrossRef_sojTkFhJQVLy04vBnpmUqg</b:Tag>
    <b:SourceType>JournalArticle</b:SourceType>
    <b:Title>Symmetries and Asymmetries of Age Effects in Naturalistic and Instructed L2 Learning</b:Title>
    <b:Year>2008</b:Year>
    <b:Publisher>Oxford University Press (OUP)</b:Publisher>
    <b:Author>
      <b:Author>
        <b:NameList>
          <b:Person>
            <b:Last>Munoz</b:Last>
            <b:First>C.</b:First>
          </b:Person>
        </b:NameList>
      </b:Author>
    </b:Author>
    <b:Volume>29</b:Volume>
    <b:Pages>578-596</b:Pages>
    <b:JournalName>Applied Linguistics</b:JournalName>
    <b:DOI>10.1093/applin/amm056</b:DOI>
    <b:Issue>4</b:Issue>
    <b:LCID>en-US</b:LCID>
    <b:Version>CrossRef</b:Version>
    <b:RefOrder>152</b:RefOrder>
  </b:Source>
  <b:Source>
    <b:Tag>Mir07</b:Tag>
    <b:SourceType>JournalArticle</b:SourceType>
    <b:Guid>{BDA20BA4-2A8C-44D6-8C6A-87B90379BA5C}</b:Guid>
    <b:Title>Lexical knowledge in instructed language learning: The effects of age and exposure</b:Title>
    <b:Year>2007</b:Year>
    <b:Volume>7</b:Volume>
    <b:Author>
      <b:Author>
        <b:NameList>
          <b:Person>
            <b:Last>Miralpeix</b:Last>
            <b:First>Inmaculada</b:First>
          </b:Person>
        </b:NameList>
      </b:Author>
    </b:Author>
    <b:JournalName>International Journal of English Studies</b:JournalName>
    <b:Pages>2</b:Pages>
    <b:RefOrder>153</b:RefOrder>
  </b:Source>
  <b:Source>
    <b:Tag>Cel01</b:Tag>
    <b:SourceType>BookSection</b:SourceType>
    <b:Guid>{71CF6AC1-AD11-4A51-BC24-89FED40FCD29}</b:Guid>
    <b:Title>Short and mid-term effects of an earlier start: An analysis of EFL written production</b:Title>
    <b:Year>2001</b:Year>
    <b:Author>
      <b:Author>
        <b:NameList>
          <b:Person>
            <b:Last>Celaya</b:Last>
            <b:First>M.</b:First>
            <b:Middle>L.</b:Middle>
          </b:Person>
          <b:Person>
            <b:Last>Torras</b:Last>
            <b:First>M.</b:First>
            <b:Middle>R.</b:Middle>
          </b:Person>
          <b:Person>
            <b:Last>Vidal</b:Last>
            <b:First>C.</b:First>
            <b:Middle>P.</b:Middle>
          </b:Person>
        </b:NameList>
      </b:Author>
      <b:Editor>
        <b:NameList>
          <b:Person>
            <b:Last>Foster-Cohen</b:Last>
            <b:Middle>H.</b:Middle>
            <b:First>S.</b:First>
          </b:Person>
          <b:Person>
            <b:Last>Nizegorodcew</b:Last>
            <b:First>A.</b:First>
          </b:Person>
        </b:NameList>
      </b:Editor>
    </b:Author>
    <b:BookTitle>EUROSLA yearbook 1</b:BookTitle>
    <b:Publisher>John Benjamins Publishing</b:Publisher>
    <b:Medium>Book chapter</b:Medium>
    <b:RefOrder>154</b:RefOrder>
  </b:Source>
  <b:Source>
    <b:Tag>Gen06</b:Tag>
    <b:SourceType>BookSection</b:SourceType>
    <b:Guid>{D2F1AA10-5EE2-4D74-9E47-C273A6B47143}</b:Guid>
    <b:Author>
      <b:Author>
        <b:NameList>
          <b:Person>
            <b:Last>Genesee</b:Last>
            <b:First>F.</b:First>
          </b:Person>
          <b:Person>
            <b:Last>Geva</b:Last>
            <b:First>E.</b:First>
          </b:Person>
          <b:Person>
            <b:Last>Dressler</b:Last>
            <b:First>C.</b:First>
          </b:Person>
          <b:Person>
            <b:Last>Kamil</b:Last>
            <b:First>M.</b:First>
            <b:Middle>L.</b:Middle>
          </b:Person>
        </b:NameList>
      </b:Author>
      <b:Editor>
        <b:NameList>
          <b:Person>
            <b:Last>August</b:Last>
            <b:First>D. </b:First>
          </b:Person>
          <b:Person>
            <b:Last>Shanahan</b:Last>
            <b:First>D.</b:First>
          </b:Person>
        </b:NameList>
      </b:Editor>
    </b:Author>
    <b:Title>Synthesis: Cross-linguistic relationships</b:Title>
    <b:BookTitle>Developing literacy in second-language learners: Report of the National Literacy Panel on Language-Minority Children and Youth</b:BookTitle>
    <b:Year>2006</b:Year>
    <b:Publisher>Lawrence Erlbaum Associates Publishers</b:Publisher>
    <b:Medium>Book chapter</b:Medium>
    <b:RefOrder>155</b:RefOrder>
  </b:Source>
  <b:Source>
    <b:Tag>Ric06</b:Tag>
    <b:SourceType>BookSection</b:SourceType>
    <b:Guid>{95972BFC-A5D8-4161-91E9-5DB50C7BA9B4}</b:Guid>
    <b:Author>
      <b:Author>
        <b:NameList>
          <b:Person>
            <b:Last>Riches</b:Last>
            <b:First>C.</b:First>
          </b:Person>
          <b:Person>
            <b:Last>Genesee</b:Last>
            <b:First>F.</b:First>
          </b:Person>
        </b:NameList>
      </b:Author>
      <b:Editor>
        <b:NameList>
          <b:Person>
            <b:Last>Genesee</b:Last>
            <b:First>F. </b:First>
          </b:Person>
        </b:NameList>
      </b:Editor>
    </b:Author>
    <b:Title>Crosslinguistic and crossmodal issues</b:Title>
    <b:BookTitle>Educating English language learners: A synthesis of research evidence</b:BookTitle>
    <b:Year>2006</b:Year>
    <b:Publisher>Cambridge University Press, New York</b:Publisher>
    <b:Pages>64-108</b:Pages>
    <b:RefOrder>156</b:RefOrder>
  </b:Source>
  <b:Source>
    <b:Tag>Cum911</b:Tag>
    <b:SourceType>JournalArticle</b:SourceType>
    <b:Guid>{4208701A-1C37-43A6-A27B-3AF6A6403614}</b:Guid>
    <b:Title>Conversational and academic language proficiency in bilingual contexts</b:Title>
    <b:Year>1991</b:Year>
    <b:Volume>8</b:Volume>
    <b:Author>
      <b:Author>
        <b:NameList>
          <b:Person>
            <b:Last>Cummins</b:Last>
            <b:First>J.</b:First>
          </b:Person>
        </b:NameList>
      </b:Author>
    </b:Author>
    <b:JournalName>Association Internationale de Linguistique (AILA) review</b:JournalName>
    <b:RefOrder>157</b:RefOrder>
  </b:Source>
  <b:Source>
    <b:Tag>Usb11</b:Tag>
    <b:SourceType>JournalArticle</b:SourceType>
    <b:Guid>{E886AB87-5363-4862-8E88-66050BDE6682}</b:Guid>
    <b:Author>
      <b:Author>
        <b:NameList>
          <b:Person>
            <b:Last>Usborne</b:Last>
            <b:First>E.</b:First>
            <b:Middle>J.</b:Middle>
          </b:Person>
          <b:Person>
            <b:Last>D.</b:Last>
            <b:First>Pecl.</b:First>
          </b:Person>
          <b:Person>
            <b:Last>Taylor</b:Last>
            <b:First>D.</b:First>
          </b:Person>
        </b:NameList>
      </b:Author>
    </b:Author>
    <b:Title>Learning through an Aboriginal Language: The Impact on Students' English and Aboriginal Language Skills</b:Title>
    <b:JournalName>Canadian Journal of Education / Revue canadienne de l'éducation</b:JournalName>
    <b:Year>2011</b:Year>
    <b:Pages>200-215</b:Pages>
    <b:Volume>34</b:Volume>
    <b:RefOrder>158</b:RefOrder>
  </b:Source>
  <b:Source>
    <b:Tag>Gil15</b:Tag>
    <b:SourceType>Report</b:SourceType>
    <b:Guid>{CFF71537-193A-444C-B2E2-BF252C43D1A6}</b:Guid>
    <b:Title>Portland State Multicultural Topics in Communications Sciences and Disorders General Overview of Bilingualism</b:Title>
    <b:Year>2015</b:Year>
    <b:Author>
      <b:Author>
        <b:NameList>
          <b:Person>
            <b:Last>Gildersleeve-Neumann</b:Last>
            <b:First>C.</b:First>
          </b:Person>
        </b:NameList>
      </b:Author>
    </b:Author>
    <b:RefOrder>159</b:RefOrder>
  </b:Source>
  <b:Source>
    <b:Tag>Bus12</b:Tag>
    <b:SourceType>JournalArticle</b:SourceType>
    <b:Guid>{10C3C734-E095-45E7-BDD7-AE625EE04C82}</b:Guid>
    <b:Title>The linguistic repertoire revisited</b:Title>
    <b:Year>2012</b:Year>
    <b:Author>
      <b:Author>
        <b:NameList>
          <b:Person>
            <b:Last>Busch</b:Last>
            <b:First>B.</b:First>
          </b:Person>
        </b:NameList>
      </b:Author>
    </b:Author>
    <b:JournalName>Applied Linguistics</b:JournalName>
    <b:Pages>503-523</b:Pages>
    <b:Volume>33</b:Volume>
    <b:RefOrder>160</b:RefOrder>
  </b:Source>
  <b:Source>
    <b:Tag>Gum64</b:Tag>
    <b:SourceType>JournalArticle</b:SourceType>
    <b:Guid>{BF000461-9D38-473B-8143-406A01F64719}</b:Guid>
    <b:Title>Linguistic and social interaction in two communities</b:Title>
    <b:Year>1964</b:Year>
    <b:Volume>66</b:Volume>
    <b:Author>
      <b:Author>
        <b:NameList>
          <b:Person>
            <b:Last>Gumperz</b:Last>
            <b:First>J.</b:First>
            <b:Middle>J.</b:Middle>
          </b:Person>
        </b:NameList>
      </b:Author>
    </b:Author>
    <b:JournalName>American Anthropologist</b:JournalName>
    <b:RefOrder>162</b:RefOrder>
  </b:Source>
  <b:Source>
    <b:Tag>Lüp13</b:Tag>
    <b:SourceType>BookSection</b:SourceType>
    <b:Guid>{7700EBE4-093F-4795-99CB-FC1368D7457B}</b:Guid>
    <b:Title>Multilingualism on the ground</b:Title>
    <b:Year>2013</b:Year>
    <b:Author>
      <b:Author>
        <b:NameList>
          <b:Person>
            <b:Last>Lüpke</b:Last>
            <b:First>F.</b:First>
          </b:Person>
        </b:NameList>
      </b:Author>
      <b:Editor>
        <b:NameList>
          <b:Person>
            <b:Last>Lüpke</b:Last>
            <b:First>F.</b:First>
          </b:Person>
          <b:Person>
            <b:Last>Storch</b:Last>
            <b:First>A.</b:First>
          </b:Person>
        </b:NameList>
      </b:Editor>
    </b:Author>
    <b:BookTitle>Repertoires and choices in African languages</b:BookTitle>
    <b:Publisher>de Gruyter, Berlin</b:Publisher>
    <b:Medium>Book chapter</b:Medium>
    <b:RefOrder>161</b:RefOrder>
  </b:Source>
  <b:Source>
    <b:Tag>Sin18</b:Tag>
    <b:SourceType>JournalArticle</b:SourceType>
    <b:Guid>{E8E82084-5D12-4CAA-AC43-E6DCB37E442A}</b:Guid>
    <b:Author>
      <b:Author>
        <b:NameList>
          <b:Person>
            <b:Last>Singer</b:Last>
            <b:First>R.</b:First>
          </b:Person>
        </b:NameList>
      </b:Author>
    </b:Author>
    <b:Title>A small speech community with many small languages: The role of receptive multilingualism in supporting linguistic diversity at Warruwi Community (Australia)</b:Title>
    <b:JournalName>Language and Communication</b:JournalName>
    <b:Year>2018</b:Year>
    <b:Volume>62</b:Volume>
    <b:RefOrder>163</b:RefOrder>
  </b:Source>
  <b:Source>
    <b:Tag>Mey06</b:Tag>
    <b:SourceType>BookSection</b:SourceType>
    <b:Guid>{3A0F797F-DCFB-4C63-8AFC-5496ED37E74C}</b:Guid>
    <b:Title>Multilingualism and language choice</b:Title>
    <b:Year>2006</b:Year>
    <b:Author>
      <b:Author>
        <b:NameList>
          <b:Person>
            <b:Last>Meyerhoff</b:Last>
            <b:First>M.</b:First>
          </b:Person>
        </b:NameList>
      </b:Author>
      <b:Editor>
        <b:NameList>
          <b:Person>
            <b:Last>Meyerhoff</b:Last>
            <b:First>M. </b:First>
          </b:Person>
        </b:NameList>
      </b:Editor>
    </b:Author>
    <b:BookTitle>Introducing Sociolinguistics</b:BookTitle>
    <b:Publisher>Routledge, London</b:Publisher>
    <b:Medium>Book chapter</b:Medium>
    <b:RefOrder>164</b:RefOrder>
  </b:Source>
  <b:Source>
    <b:Tag>Bac15</b:Tag>
    <b:SourceType>BookSection</b:SourceType>
    <b:Guid>{A8E59914-BAAC-4D7D-88C1-A07D86F21FD0}</b:Guid>
    <b:Author>
      <b:Author>
        <b:NameList>
          <b:Person>
            <b:Last>Backus</b:Last>
            <b:First>A.</b:First>
          </b:Person>
        </b:NameList>
      </b:Author>
      <b:Editor>
        <b:NameList>
          <b:Person>
            <b:Last>Stell</b:Last>
            <b:First>G.</b:First>
          </b:Person>
          <b:Person>
            <b:Last>Yakpo</b:Last>
            <b:First>K.</b:First>
          </b:Person>
        </b:NameList>
      </b:Editor>
    </b:Author>
    <b:Title>A usage-based approach to code-switching: The need for reconciling structure and function</b:Title>
    <b:Year>2015</b:Year>
    <b:Publisher>Mouton de Gruyter, Berlin</b:Publisher>
    <b:Pages>19-37</b:Pages>
    <b:BookTitle>Code-switching Between Structural and Sociolinguistic Perspectives</b:BookTitle>
    <b:RefOrder>165</b:RefOrder>
  </b:Source>
  <b:Source>
    <b:Tag>OEC171</b:Tag>
    <b:SourceType>Report</b:SourceType>
    <b:Guid>{29D38D47-56FC-4012-B20B-D34BBDD32581}</b:Guid>
    <b:Title>Promising practices in supporting success for Indigenous students</b:Title>
    <b:Year>2017</b:Year>
    <b:Publisher>OECD Publishing, Paris</b:Publisher>
    <b:Author>
      <b:Author>
        <b:NameList>
          <b:Person>
            <b:Last>OECD</b:Last>
          </b:Person>
        </b:NameList>
      </b:Author>
    </b:Author>
    <b:RefOrder>166</b:RefOrder>
  </b:Source>
  <b:Source>
    <b:Tag>Rom13</b:Tag>
    <b:SourceType>BookSection</b:SourceType>
    <b:Guid>{AFBDB4CC-0584-4D1A-B1E2-E3249FAB27CD}</b:Guid>
    <b:Title>The bilingual and multilingual community</b:Title>
    <b:Year>2013</b:Year>
    <b:Author>
      <b:Author>
        <b:NameList>
          <b:Person>
            <b:Last>Romaine</b:Last>
            <b:First>S.</b:First>
          </b:Person>
        </b:NameList>
      </b:Author>
      <b:Editor>
        <b:NameList>
          <b:Person>
            <b:Last>Bhatia</b:Last>
            <b:Middle>K.</b:Middle>
            <b:First>T.</b:First>
          </b:Person>
          <b:Person>
            <b:Last>Ritchie</b:Last>
            <b:Middle>C.</b:Middle>
            <b:First>W.</b:First>
          </b:Person>
        </b:NameList>
      </b:Editor>
    </b:Author>
    <b:BookTitle>The handbook of multilingualism and bilingualism (2nd Ed)</b:BookTitle>
    <b:Publisher>Blackwell, Oxford</b:Publisher>
    <b:Pages>443-465</b:Pages>
    <b:Medium>Book chapter</b:Medium>
    <b:RefOrder>167</b:RefOrder>
  </b:Source>
  <b:Source>
    <b:Tag>Wig18</b:Tag>
    <b:SourceType>BookSection</b:SourceType>
    <b:Guid>{DAC8E3D5-E336-40F4-B6A7-DA6624445ABD}</b:Guid>
    <b:Author>
      <b:Author>
        <b:NameList>
          <b:Person>
            <b:Last>Wigglesworth</b:Last>
            <b:First>G.</b:First>
          </b:Person>
          <b:Person>
            <b:Last>Simpson</b:Last>
            <b:First>J.</b:First>
          </b:Person>
        </b:NameList>
      </b:Author>
      <b:Editor>
        <b:NameList>
          <b:Person>
            <b:Last>Wigglesworth</b:Last>
            <b:First>G.</b:First>
          </b:Person>
          <b:Person>
            <b:Last>Simpson</b:Last>
            <b:First>J. </b:First>
          </b:Person>
          <b:Person>
            <b:Last>Vaughan</b:Last>
            <b:First>J.</b:First>
          </b:Person>
        </b:NameList>
      </b:Editor>
    </b:Author>
    <b:Title>Going to school in a different world</b:Title>
    <b:BookTitle>Language practices of Indigenous children and youth. The transition from home to school</b:BookTitle>
    <b:Year>2018</b:Year>
    <b:Publisher>Palgrave, London</b:Publisher>
    <b:Medium>Book chapter</b:Medium>
    <b:Pages>1-20</b:Pages>
    <b:RefOrder>168</b:RefOrder>
  </b:Source>
  <b:Source>
    <b:Tag>Cen20</b:Tag>
    <b:SourceType>Report</b:SourceType>
    <b:Guid>{4149CAA8-BE8E-444C-A15D-FECE048F0130}</b:Guid>
    <b:Title>Yuma wandi len Kriol? (Do you want to learn Kriol?)</b:Title>
    <b:Year>2020</b:Year>
    <b:URL>https://ngukurrlc.org.au/</b:URL>
    <b:Author>
      <b:Author>
        <b:Corporate>Ngukurr Language Centre</b:Corporate>
      </b:Author>
    </b:Author>
    <b:YearAccessed>2021</b:YearAccessed>
    <b:MonthAccessed>10</b:MonthAccessed>
    <b:DayAccessed>4</b:DayAccessed>
    <b:RefOrder>169</b:RefOrder>
  </b:Source>
  <b:Source>
    <b:Tag>Lou20</b:Tag>
    <b:SourceType>Report</b:SourceType>
    <b:Guid>{45950C48-A005-43F4-A3FF-12C8B73C9FB7}</b:Guid>
    <b:Author>
      <b:Author>
        <b:Corporate>Louis Riel Institute</b:Corporate>
      </b:Author>
    </b:Author>
    <b:Title>Michif language</b:Title>
    <b:Year>2020</b:Year>
    <b:RefOrder>170</b:RefOrder>
  </b:Source>
  <b:Source>
    <b:Tag>New16</b:Tag>
    <b:SourceType>JournalArticle</b:SourceType>
    <b:Guid>{34BF4B4E-5162-416D-B360-5CAC32E4B007}</b:Guid>
    <b:Title>English and Aboriginal Identity</b:Title>
    <b:Year>2016</b:Year>
    <b:URL>http://towncrier.puritan-magazine.com/aboriginal-english/</b:URL>
    <b:Author>
      <b:Author>
        <b:NameList>
          <b:Person>
            <b:Last>Newmark</b:Last>
            <b:First>K.</b:First>
          </b:Person>
          <b:Person>
            <b:Last>Stanford</b:Last>
            <b:First>J.</b:First>
          </b:Person>
          <b:Person>
            <b:Last>Walker</b:Last>
            <b:First>N.</b:First>
          </b:Person>
        </b:NameList>
      </b:Author>
    </b:Author>
    <b:JournalName>The town crier</b:JournalName>
    <b:Month>10</b:Month>
    <b:Day>21</b:Day>
    <b:YearAccessed>2021</b:YearAccessed>
    <b:MonthAccessed>10</b:MonthAccessed>
    <b:DayAccessed>4</b:DayAccessed>
    <b:RefOrder>172</b:RefOrder>
  </b:Source>
  <b:Source>
    <b:Tag>Ead14</b:Tag>
    <b:SourceType>BookSection</b:SourceType>
    <b:Guid>{649BE2CA-C069-4075-B584-E6B22042C12B}</b:Guid>
    <b:Title>Aboriginal English</b:Title>
    <b:Year>2014</b:Year>
    <b:Author>
      <b:Author>
        <b:NameList>
          <b:Person>
            <b:Last>Eades</b:Last>
            <b:First>D.</b:First>
          </b:Person>
        </b:NameList>
      </b:Author>
      <b:Editor>
        <b:NameList>
          <b:Person>
            <b:Last>Koch</b:Last>
            <b:First>H.</b:First>
          </b:Person>
          <b:Person>
            <b:Last>Nordlinger</b:Last>
            <b:First>R.</b:First>
          </b:Person>
        </b:NameList>
      </b:Editor>
    </b:Author>
    <b:BookTitle>The languages and linguistics of Australia. A comprehensive guide</b:BookTitle>
    <b:Publisher>Mouton de Gruyter, Berlin/Boston</b:Publisher>
    <b:Pages>417-447</b:Pages>
    <b:Medium>Book chapter</b:Medium>
    <b:RefOrder>171</b:RefOrder>
  </b:Source>
  <b:Source>
    <b:Tag>Mac10</b:Tag>
    <b:SourceType>BookSection</b:SourceType>
    <b:Guid>{490792D7-5682-4F2C-8237-2E9CC3CF9CC4}</b:Guid>
    <b:Title>The English(es) of New Zealand</b:Title>
    <b:Year>2010</b:Year>
    <b:Author>
      <b:Author>
        <b:NameList>
          <b:Person>
            <b:Last>Maclagan</b:Last>
            <b:First>M.</b:First>
          </b:Person>
        </b:NameList>
      </b:Author>
      <b:Editor>
        <b:NameList>
          <b:Person>
            <b:Last>Kirkpatrick</b:Last>
            <b:First>A.</b:First>
          </b:Person>
        </b:NameList>
      </b:Editor>
    </b:Author>
    <b:BookTitle>The Routledge Handbook of World Englishes</b:BookTitle>
    <b:Publisher>Routledge, London</b:Publisher>
    <b:Medium>Book chapter</b:Medium>
    <b:RefOrder>173</b:RefOrder>
  </b:Source>
  <b:Source>
    <b:Tag>Bow99</b:Tag>
    <b:SourceType>BookSection</b:SourceType>
    <b:Guid>{FEE86D59-373C-47D0-9422-ABA9AF6614DF}</b:Guid>
    <b:Title>Literacy Teaching and Learning in a Bilingual Classroom</b:Title>
    <b:BookTitle>Double Power: English literacy and Indigenous Education</b:BookTitle>
    <b:Year>1999</b:Year>
    <b:Publisher>Language Australia, Melbourne</b:Publisher>
    <b:Medium>Book chapter</b:Medium>
    <b:Author>
      <b:Editor>
        <b:NameList>
          <b:Person>
            <b:Last>Wignall</b:Last>
            <b:First>P.</b:First>
          </b:Person>
        </b:NameList>
      </b:Editor>
      <b:Author>
        <b:NameList>
          <b:Person>
            <b:Last>Bowman</b:Last>
            <b:First>C.</b:First>
          </b:Person>
          <b:Person>
            <b:Last>Pascoe</b:Last>
            <b:First>L.</b:First>
          </b:Person>
          <b:Person>
            <b:Last>Joy</b:Last>
            <b:First>T.</b:First>
          </b:Person>
        </b:NameList>
      </b:Author>
    </b:Author>
    <b:Pages>61-94</b:Pages>
    <b:RefOrder>174</b:RefOrder>
  </b:Source>
  <b:Source>
    <b:Tag>Mur17</b:Tag>
    <b:SourceType>BookSection</b:SourceType>
    <b:Guid>{63A13CE4-6E45-431C-AC8F-D97A95AB618F}</b:Guid>
    <b:Author>
      <b:Author>
        <b:NameList>
          <b:Person>
            <b:Last>Murray</b:Last>
            <b:First>F.</b:First>
          </b:Person>
        </b:NameList>
      </b:Author>
      <b:Editor>
        <b:NameList>
          <b:Person>
            <b:Last>Devlin</b:Last>
            <b:First>B.</b:First>
          </b:Person>
          <b:Person>
            <b:Last>Disbray</b:Last>
            <b:First>S.</b:First>
          </b:Person>
          <b:Person>
            <b:Last>Devlin</b:Last>
            <b:First>N.</b:First>
          </b:Person>
        </b:NameList>
      </b:Editor>
    </b:Author>
    <b:Title>The Development of Successful Bilingual, Biliterate and Bicultural Pedagogy: Place for Tiwi Teachers and Tiwi Language in Learning</b:Title>
    <b:BookTitle>History of Bilingual Education in the Northern Territory: People, Programs and Policy</b:BookTitle>
    <b:Year>2017</b:Year>
    <b:Publisher>Springer, Singapore</b:Publisher>
    <b:Medium>Book chapter</b:Medium>
    <b:RefOrder>175</b:RefOrder>
  </b:Source>
  <b:Source>
    <b:Tag>Edu17</b:Tag>
    <b:SourceType>Report</b:SourceType>
    <b:Guid>{542F30F8-6829-4446-978E-E51B86DA81D3}</b:Guid>
    <b:Title>Keeping Indigenous languages and cultures strong: A Basis for Policy for Indigenous Languages and Cultures in Schools in the NT (Discussion paper)</b:Title>
    <b:Year>2017</b:Year>
    <b:Publisher>NT Government</b:Publisher>
    <b:URL>https://education.nt.gov.au/__data/assets/pdf_file/0012/413202/Policy_Keeping-Indigenous-Languages-and-Cultures-Strong-Document_web_updated.pdf</b:URL>
    <b:Author>
      <b:Author>
        <b:Corporate>Northern Territory Department of Education</b:Corporate>
      </b:Author>
    </b:Author>
    <b:YearAccessed>2021</b:YearAccessed>
    <b:MonthAccessed>10</b:MonthAccessed>
    <b:DayAccessed>4</b:DayAccessed>
    <b:RefOrder>176</b:RefOrder>
  </b:Source>
  <b:Source>
    <b:Tag>Pinnd</b:Tag>
    <b:SourceType>Report</b:SourceType>
    <b:Guid>{FE20882C-D96F-4A78-A1F3-E1BE599E84BC}</b:Guid>
    <b:Author>
      <b:Author>
        <b:Corporate>Kaurna Warra Pintyanthi</b:Corporate>
      </b:Author>
    </b:Author>
    <b:Title>Kaurna Warra Karrpanthi Aboriginal Corporation (KWK). Supporting the Kaurna Language of the Adelaide Plains</b:Title>
    <b:Year>n.d.</b:Year>
    <b:YearAccessed>2021</b:YearAccessed>
    <b:MonthAccessed>10</b:MonthAccessed>
    <b:DayAccessed>4</b:DayAccessed>
    <b:URL>https://www.adelaide.edu.au/kwp/kwk/ </b:URL>
    <b:RefOrder>177</b:RefOrder>
  </b:Source>
  <b:Source>
    <b:Tag>Ame16</b:Tag>
    <b:SourceType>Book</b:SourceType>
    <b:Guid>{2A35D8B2-0EED-4D6A-B4B3-7473ACE9A8C4}</b:Guid>
    <b:Title>Warraparna Kaurna! Reclaiming an Australian language</b:Title>
    <b:Year>2016</b:Year>
    <b:Author>
      <b:Author>
        <b:NameList>
          <b:Person>
            <b:Last>Amery</b:Last>
            <b:First>R.</b:First>
          </b:Person>
        </b:NameList>
      </b:Author>
    </b:Author>
    <b:Publisher>University of Adelaide Press, Adelaide</b:Publisher>
    <b:RefOrder>178</b:RefOrder>
  </b:Source>
  <b:Source>
    <b:Tag>Dep17</b:Tag>
    <b:SourceType>Report</b:SourceType>
    <b:Guid>{7552A5D5-3CE5-49FB-97DF-CDA5230ACE94}</b:Guid>
    <b:Author>
      <b:Author>
        <b:NameList>
          <b:Person>
            <b:Last>Department of Education</b:Last>
            <b:First>Northern</b:First>
            <b:Middle>Territory</b:Middle>
          </b:Person>
        </b:NameList>
      </b:Author>
    </b:Author>
    <b:Title>Guidelines for the implementation of Indigenous languages and cultures programs in schools</b:Title>
    <b:Year>2017</b:Year>
    <b:Publisher>Northern Territory Government, Darwin</b:Publisher>
    <b:RefOrder>179</b:RefOrder>
  </b:Source>
  <b:Source>
    <b:Tag>Ben91</b:Tag>
    <b:SourceType>BookSection</b:SourceType>
    <b:Guid>{9D6D9D03-C78B-4264-8ECD-F48876705770}</b:Guid>
    <b:Title>Māori English: a New Zealand myth?</b:Title>
    <b:Year>1991</b:Year>
    <b:Medium>Book chapter</b:Medium>
    <b:Author>
      <b:Author>
        <b:NameList>
          <b:Person>
            <b:Last>Benton</b:Last>
            <b:First>R.</b:First>
            <b:Middle>A.</b:Middle>
          </b:Person>
        </b:NameList>
      </b:Author>
      <b:Editor>
        <b:NameList>
          <b:Person>
            <b:Last>Cheshire</b:Last>
            <b:First>J.</b:First>
          </b:Person>
        </b:NameList>
      </b:Editor>
    </b:Author>
    <b:BookTitle>English around the world: Sociolinguistic perspectives</b:BookTitle>
    <b:Publisher>Cambridge University Press, Cambridge</b:Publisher>
    <b:Pages>187-199</b:Pages>
    <b:RefOrder>180</b:RefOrder>
  </b:Source>
  <b:Source>
    <b:Tag>Kee171</b:Tag>
    <b:SourceType>JournalArticle</b:SourceType>
    <b:Guid>{D3ECC02D-059E-4DEA-980E-269659152054}</b:Guid>
    <b:Title>Māori dialect issues and Māori language ideologies in the revitalisation era</b:Title>
    <b:Year>2017</b:Year>
    <b:Volume>6</b:Volume>
    <b:Author>
      <b:Author>
        <b:NameList>
          <b:Person>
            <b:Last>Keegan</b:Last>
            <b:First>P.</b:First>
            <b:Middle>J.</b:Middle>
          </b:Person>
        </b:NameList>
      </b:Author>
    </b:Author>
    <b:JournalName>MAI Journal</b:JournalName>
    <b:RefOrder>181</b:RefOrder>
  </b:Source>
  <b:Source>
    <b:Tag>Kin01</b:Tag>
    <b:SourceType>BookSection</b:SourceType>
    <b:Guid>{E377DD11-1C3A-45B5-9E82-6541789B841F}</b:Guid>
    <b:Title>Te Kōhanga Reo: Māori Language Revitalization</b:Title>
    <b:Year>2001</b:Year>
    <b:Author>
      <b:Author>
        <b:NameList>
          <b:Person>
            <b:Last>King</b:Last>
            <b:First>J.</b:First>
          </b:Person>
        </b:NameList>
      </b:Author>
      <b:Editor>
        <b:NameList>
          <b:Person>
            <b:Last>Hinton</b:Last>
            <b:First>L.</b:First>
          </b:Person>
          <b:Person>
            <b:Last>Hale</b:Last>
            <b:First>K. </b:First>
          </b:Person>
        </b:NameList>
      </b:Editor>
    </b:Author>
    <b:BookTitle>The Green Book of Language Revitalization in Practice</b:BookTitle>
    <b:Publisher>Brill</b:Publisher>
    <b:Medium>Book chapter</b:Medium>
    <b:RefOrder>182</b:RefOrder>
  </b:Source>
  <b:Source>
    <b:Tag>Gun19</b:Tag>
    <b:SourceType>Book</b:SourceType>
    <b:Guid>{9DF900BC-00C9-49A2-A84E-AE5C3CFB2954}</b:Guid>
    <b:Title>Weaving Te Whāriki, Aotearoa New Zealand's Early Childhood Curriculum in Theory and Practice, 3rd ed</b:Title>
    <b:Year>2019</b:Year>
    <b:Publisher>NZCER Press</b:Publisher>
    <b:Author>
      <b:Editor>
        <b:NameList>
          <b:Person>
            <b:Last>Gunn</b:Last>
            <b:Middle>C.</b:Middle>
            <b:First>A.</b:First>
          </b:Person>
          <b:Person>
            <b:Last>Nuttall</b:Last>
            <b:First>J.</b:First>
          </b:Person>
        </b:NameList>
      </b:Editor>
    </b:Author>
    <b:RefOrder>183</b:RefOrder>
  </b:Source>
  <b:Source>
    <b:Tag>McI091</b:Tag>
    <b:SourceType>JournalArticle</b:SourceType>
    <b:Guid>{3B7F93E2-DBB6-4414-A35D-860BF57B32BB}</b:Guid>
    <b:Author>
      <b:Author>
        <b:NameList>
          <b:Person>
            <b:Last>McIvor</b:Last>
            <b:First>O.</b:First>
          </b:Person>
          <b:Person>
            <b:Last>Napoleon</b:Last>
            <b:First>W.</b:First>
          </b:Person>
          <b:Person>
            <b:Last>Dickie</b:Last>
            <b:First>Kerissa</b:First>
            <b:Middle>M.</b:Middle>
          </b:Person>
        </b:NameList>
      </b:Author>
    </b:Author>
    <b:Title>Language and culture as protective factors for at risk communities</b:Title>
    <b:Year>2009</b:Year>
    <b:Volume>5</b:Volume>
    <b:JournalName>Journal of Aboriginal Health</b:JournalName>
    <b:Issue>1</b:Issue>
    <b:RefOrder>184</b:RefOrder>
  </b:Source>
  <b:Source>
    <b:Tag>Cha15</b:Tag>
    <b:SourceType>JournalArticle</b:SourceType>
    <b:Guid>{39616576-4948-4405-B678-3B92B683149E}</b:Guid>
    <b:Author>
      <b:Author>
        <b:NameList>
          <b:Person>
            <b:Last>Chambers</b:Last>
            <b:First>Natalie</b:First>
            <b:Middle>A.</b:Middle>
          </b:Person>
        </b:NameList>
      </b:Author>
    </b:Author>
    <b:Title>Language nests as an emergent global phenomenon: Diverse approaches to program  development and delivery</b:Title>
    <b:JournalName>The International Journal of Holistic Early Learning and Development</b:JournalName>
    <b:Year>2015</b:Year>
    <b:Volume>1</b:Volume>
    <b:RefOrder>185</b:RefOrder>
  </b:Source>
  <b:Source>
    <b:Tag>Lim19</b:Tag>
    <b:SourceType>Report</b:SourceType>
    <b:Guid>{700C8D53-FA53-461F-9A42-9A60C1C71940}</b:Guid>
    <b:Title>Whakanuia te reo kia ora. Evaluation of te reo Māori in English-medium compulsory education</b:Title>
    <b:Year>2019</b:Year>
    <b:URL>https://www.tetaurawhiri.govt.nz/assets/Research/f0dc677bf5/Whakanuia-Te-Reo-Report.pdf</b:URL>
    <b:Author>
      <b:Author>
        <b:Corporate>Haemata Limited</b:Corporate>
      </b:Author>
    </b:Author>
    <b:Publisher>Te Taura Whiri i te reo Māori (Māori Language Commission)</b:Publisher>
    <b:YearAccessed>2021</b:YearAccessed>
    <b:MonthAccessed>10</b:MonthAccessed>
    <b:DayAccessed>4</b:DayAccessed>
    <b:RefOrder>186</b:RefOrder>
  </b:Source>
  <b:Source>
    <b:Tag>New192</b:Tag>
    <b:SourceType>Report</b:SourceType>
    <b:Guid>{0E7F11D1-FCAC-4FB1-846B-B5236EB817C2}</b:Guid>
    <b:Author>
      <b:Author>
        <b:Corporate>New Zealand Qualifications Authority</b:Corporate>
      </b:Author>
    </b:Author>
    <b:Title>2018 annual report NCEA [National Certificate of Educational Achievement], University entrance and NZ scholarship data and statistics</b:Title>
    <b:Year>2019</b:Year>
    <b:Publisher>New Zealand Qualifications Authority, Wellington</b:Publisher>
    <b:YearAccessed>2021</b:YearAccessed>
    <b:MonthAccessed>10</b:MonthAccessed>
    <b:DayAccessed>4</b:DayAccessed>
    <b:URL>https://www.nzqa.govt.nz/assets/About-us/Publications/stats-reports/ncea-annual-report-2018.pdf</b:URL>
    <b:RefOrder>187</b:RefOrder>
  </b:Source>
  <b:Source>
    <b:Tag>Chi20</b:Tag>
    <b:SourceType>ElectronicSource</b:SourceType>
    <b:Guid>{EB6B3BD0-2B22-4929-967E-AD474C3E5788}</b:Guid>
    <b:Year>2020</b:Year>
    <b:Author>
      <b:Author>
        <b:Corporate>Chief Atahm School</b:Corporate>
      </b:Author>
    </b:Author>
    <b:YearAccessed>2021</b:YearAccessed>
    <b:MonthAccessed>10</b:MonthAccessed>
    <b:DayAccessed>4</b:DayAccessed>
    <b:URL>http://www.chiefatahm.com/index.html </b:URL>
    <b:RefOrder>188</b:RefOrder>
  </b:Source>
  <b:Source>
    <b:Tag>Bra171</b:Tag>
    <b:SourceType>BookSection</b:SourceType>
    <b:Guid>{F2BFBE35-A58C-4A01-A44D-6C53BC689356}</b:Guid>
    <b:Title>Maaya Waab (Playing with Sound): Nyungar Song Language and Spoken Language in the South-West of Western Australia</b:Title>
    <b:Medium>Book chapter</b:Medium>
    <b:Year>2017</b:Year>
    <b:Author>
      <b:Author>
        <b:NameList>
          <b:Person>
            <b:Last>Bracknell</b:Last>
            <b:First>C.</b:First>
          </b:Person>
        </b:NameList>
      </b:Author>
      <b:Editor>
        <b:NameList>
          <b:Person>
            <b:Last>Wafer</b:Last>
            <b:First>J.</b:First>
          </b:Person>
          <b:Person>
            <b:Last>Turpin</b:Last>
            <b:First>M.</b:First>
          </b:Person>
        </b:NameList>
      </b:Editor>
    </b:Author>
    <b:BookTitle>Recirculating Songs: Revitalising the Singing Practices of Indigenous Australia</b:BookTitle>
    <b:Publisher>Asia-Pacific Linguistics, Canberra</b:Publisher>
    <b:Pages>45-57</b:Pages>
    <b:RefOrder>189</b:RefOrder>
  </b:Source>
  <b:Source>
    <b:Tag>Wil111</b:Tag>
    <b:SourceType>Report</b:SourceType>
    <b:Guid>{BB27271C-4DCF-48EB-8766-50EB9C14D9D6}</b:Guid>
    <b:Title>The importance of teaching and learning Aboriginal languages and cultures. The triangularity between language and culture, educational engagement and community cultural health and wellbeing</b:Title>
    <b:Year>2011</b:Year>
    <b:Publisher>Aboriginal Affairs, Surry Hills NSW</b:Publisher>
    <b:Author>
      <b:Author>
        <b:NameList>
          <b:Person>
            <b:Last>Williams</b:Last>
            <b:First>S.</b:First>
          </b:Person>
        </b:NameList>
      </b:Author>
    </b:Author>
    <b:RefOrder>190</b:RefOrder>
  </b:Source>
  <b:Source>
    <b:Tag>NIW17</b:Tag>
    <b:SourceType>Report</b:SourceType>
    <b:Guid>{86A3FD07-1D38-4C41-AF2C-A83BBAEA8EBF}</b:Guid>
    <b:Author>
      <b:Author>
        <b:Corporate>National Institute of Water and Atmospheric Research (NIWA)</b:Corporate>
      </b:Author>
    </b:Author>
    <b:Title>Ngā Tikanga Māori o te Tiro Huarere, me te Āhuarangi</b:Title>
    <b:Year>2007</b:Year>
    <b:YearAccessed>2021</b:YearAccessed>
    <b:MonthAccessed>10</b:MonthAccessed>
    <b:DayAccessed>4</b:DayAccessed>
    <b:URL>https://niwa.co.nz/sites/niwa.co.nz/files/niwa_poster_2007.pdf</b:URL>
    <b:RefOrder>192</b:RefOrder>
  </b:Source>
  <b:Source>
    <b:Tag>Natnd</b:Tag>
    <b:SourceType>Report</b:SourceType>
    <b:Guid>{2CCD86DC-32A0-4A4D-9B00-424D5B7C38EC}</b:Guid>
    <b:Author>
      <b:Author>
        <b:Corporate>National Institute of Water and Atmospheric Research (NIWA)</b:Corporate>
      </b:Author>
    </b:Author>
    <b:Title>Māori Environmental Knowledge</b:Title>
    <b:Year>n.d.</b:Year>
    <b:RefOrder>191</b:RefOrder>
  </b:Source>
  <b:Source>
    <b:Tag>Nat06</b:Tag>
    <b:SourceType>Report</b:SourceType>
    <b:Guid>{F759F3ED-1D8F-4A87-AF6D-5D8D22732EED}</b:Guid>
    <b:Author>
      <b:Author>
        <b:Corporate>National Institute of Water and Atmospheric Research (NIWA)</b:Corporate>
      </b:Author>
    </b:Author>
    <b:Title>Traditional Māori Weather and Climate Forecasting</b:Title>
    <b:Year>2006</b:Year>
    <b:YearAccessed>2021</b:YearAccessed>
    <b:MonthAccessed>10</b:MonthAccessed>
    <b:DayAccessed>4</b:DayAccessed>
    <b:URL>https://niwa.co.nz/sites/default/files/niwa_poster_2006.pdf</b:URL>
    <b:RefOrder>193</b:RefOrder>
  </b:Source>
  <b:Source>
    <b:Tag>Nor93</b:Tag>
    <b:SourceType>Report</b:SourceType>
    <b:Guid>{346852E0-18EA-469E-A138-A6E603614A81}</b:Guid>
    <b:Author>
      <b:Author>
        <b:Corporate>Northwest Territories Education Culture and Employment</b:Corporate>
      </b:Author>
    </b:Author>
    <b:Title>Dene Kede. Education: A Dene perspective. Grades K-6</b:Title>
    <b:Year>1993</b:Year>
    <b:YearAccessed>2021</b:YearAccessed>
    <b:MonthAccessed>10</b:MonthAccessed>
    <b:DayAccessed>4</b:DayAccessed>
    <b:URL>http://www.ece.gov.nt.ca/sites/ece/files/resources/dene_kede_k-6_full_curriculum.pdf</b:URL>
    <b:RefOrder>194</b:RefOrder>
  </b:Source>
  <b:Source>
    <b:Tag>Tag20</b:Tag>
    <b:SourceType>Report</b:SourceType>
    <b:Guid>{4F05C60F-5FB0-4F64-B6F4-A69ABDCC63E3}</b:Guid>
    <b:Author>
      <b:Author>
        <b:Corporate>Tagai State College</b:Corporate>
      </b:Author>
    </b:Author>
    <b:Title>Navigating YUMI to a successful future: Principal's message</b:Title>
    <b:Year>2020</b:Year>
    <b:YearAccessed>2021</b:YearAccessed>
    <b:MonthAccessed>10</b:MonthAccessed>
    <b:DayAccessed>4</b:DayAccessed>
    <b:URL>https://tagaisc.eq.edu.au/Ourschool/Principalswelcome/Pages/Principalswelcome.aspx </b:URL>
    <b:RefOrder>195</b:RefOrder>
  </b:Source>
  <b:Source>
    <b:Tag>Met05</b:Tag>
    <b:SourceType>JournalArticle</b:SourceType>
    <b:Guid>{5B2A407D-A908-402F-A156-B4C63D8C8BA4}</b:Guid>
    <b:Author>
      <b:Author>
        <b:NameList>
          <b:Person>
            <b:Last>Metge</b:Last>
            <b:First>J.</b:First>
          </b:Person>
        </b:NameList>
      </b:Author>
    </b:Author>
    <b:Title>Working in/playing with three languages: English, te reo Māori and Māori body language</b:Title>
    <b:Year>2005</b:Year>
    <b:JournalName>Sites: new series</b:JournalName>
    <b:Volume>2</b:Volume>
    <b:Issue>2</b:Issue>
    <b:RefOrder>196</b:RefOrder>
  </b:Source>
  <b:Source>
    <b:Tag>Gru16</b:Tag>
    <b:SourceType>JournalArticle</b:SourceType>
    <b:Guid>{E45B2AAA-406E-40E7-9F7C-06AF9B8B48A6}</b:Guid>
    <b:Author>
      <b:Author>
        <b:Corporate>Gruber, J. et al</b:Corporate>
      </b:Author>
    </b:Author>
    <b:Title>The hands, head, and brow. A sociolinguistic study of Māori gesture</b:Title>
    <b:JournalName>Gesture</b:JournalName>
    <b:Year>2016</b:Year>
    <b:Volume>15</b:Volume>
    <b:RefOrder>197</b:RefOrder>
  </b:Source>
  <b:Source>
    <b:Tag>CrossRef_Q92WMFo655t9pKLKqlx2zQ</b:Tag>
    <b:SourceType>JournalArticle</b:SourceType>
    <b:Title>The Impact of Language Loss on the Māori Performing Arts</b:Title>
    <b:Year>2008</b:Year>
    <b:Publisher>Auckland University of Technology (AUT) Library</b:Publisher>
    <b:Author>
      <b:Author>
        <b:NameList>
          <b:Person>
            <b:Last>Ka'ai-Mahuta</b:Last>
            <b:First>Rachael</b:First>
          </b:Person>
        </b:NameList>
      </b:Author>
    </b:Author>
    <b:Volume>1</b:Volume>
    <b:JournalName>Te Kaharoa</b:JournalName>
    <b:DOI>10.24135/tekaharoa.v1i1.139</b:DOI>
    <b:Issue>1</b:Issue>
    <b:LCID>en-US</b:LCID>
    <b:Version>CrossRef</b:Version>
    <b:RefOrder>198</b:RefOrder>
  </b:Source>
  <b:Source>
    <b:Tag>Ker17</b:Tag>
    <b:SourceType>Report</b:SourceType>
    <b:Guid>{62ADB1AC-5ADF-4607-98F9-F0F7950EC427}</b:Guid>
    <b:Title>He hua rānei tō te kapa haka : kapa haka as a retention tool for Māori students in mainstream secondary schools (Thesis)</b:Title>
    <b:Year>2017</b:Year>
    <b:URL>https://mro.massey.ac.nz/handle/10179/12808</b:URL>
    <b:Author>
      <b:Author>
        <b:NameList>
          <b:Person>
            <b:Last>Kerehoma</b:Last>
            <b:First>Leanne</b:First>
          </b:Person>
        </b:NameList>
      </b:Author>
    </b:Author>
    <b:YearAccessed>2021</b:YearAccessed>
    <b:MonthAccessed>10</b:MonthAccessed>
    <b:DayAccessed>4</b:DayAccessed>
    <b:RefOrder>199</b:RefOrder>
  </b:Source>
  <b:Source>
    <b:Tag>Par18</b:Tag>
    <b:SourceType>JournalArticle</b:SourceType>
    <b:Guid>{7C6AE82D-FE14-4230-B4AB-ECF2950E7E78}</b:Guid>
    <b:Title>Kapa haka on the rise - 2018 highlights</b:Title>
    <b:Year>2018</b:Year>
    <b:Author>
      <b:Author>
        <b:NameList>
          <b:Person>
            <b:Last>Paranihi</b:Last>
            <b:First>Regan</b:First>
          </b:Person>
        </b:NameList>
      </b:Author>
    </b:Author>
    <b:YearAccessed>2021</b:YearAccessed>
    <b:MonthAccessed>10</b:MonthAccessed>
    <b:DayAccessed>4</b:DayAccessed>
    <b:URL>https://www.teaomaori.news/kapa-haka-on-rise-2018-highlights</b:URL>
    <b:JournalName>Te Ao Māori News</b:JournalName>
    <b:Month>12</b:Month>
    <b:Day>14</b:Day>
    <b:RefOrder>200</b:RefOrder>
  </b:Source>
  <b:Source>
    <b:Tag>Pih14</b:Tag>
    <b:SourceType>Report</b:SourceType>
    <b:Guid>{D352B07C-C374-4DA1-BBFD-786A2CC3F6B1}</b:Guid>
    <b:Title>Ngā hua a Tāne Rore: The benefits of Kapa Haka</b:Title>
    <b:Year>2014</b:Year>
    <b:Author>
      <b:Author>
        <b:NameList>
          <b:Person>
            <b:Last>Pihama</b:Last>
            <b:First>L.</b:First>
          </b:Person>
          <b:Person>
            <b:Last>Tipene</b:Last>
            <b:First>J.</b:First>
          </b:Person>
          <b:Person>
            <b:Last>Skipper</b:Last>
            <b:First>H.</b:First>
          </b:Person>
        </b:NameList>
      </b:Author>
    </b:Author>
    <b:Publisher>Manatū Taonga - Ministry of Culture and Heritage, Wellington</b:Publisher>
    <b:YearAccessed>2021</b:YearAccessed>
    <b:MonthAccessed>10</b:MonthAccessed>
    <b:DayAccessed>4</b:DayAccessed>
    <b:URL>https://researchcommons.waikato.ac.nz/handle/10289/12603</b:URL>
    <b:RefOrder>201</b:RefOrder>
  </b:Source>
  <b:Source>
    <b:Tag>Whi08</b:Tag>
    <b:SourceType>JournalArticle</b:SourceType>
    <b:Guid>{F28AA53C-E315-4F42-B29E-217297E9A1BB}</b:Guid>
    <b:Title>Kapa Haka counts: Improving participation levels of Māori students in mainstream secondary schools</b:Title>
    <b:Year>2008</b:Year>
    <b:Author>
      <b:Author>
        <b:NameList>
          <b:Person>
            <b:Last>Whitinui</b:Last>
            <b:First>P.</b:First>
          </b:Person>
        </b:NameList>
      </b:Author>
    </b:Author>
    <b:JournalName>MAI Review</b:JournalName>
    <b:Volume>3</b:Volume>
    <b:Issue>8</b:Issue>
    <b:URL>http://www.review.mai.ac.nz/mrindex/MR/article/view/187/194.html</b:URL>
    <b:YearAccessed>2021</b:YearAccessed>
    <b:MonthAccessed>10</b:MonthAccessed>
    <b:DayAccessed>4</b:DayAccessed>
    <b:RefOrder>202</b:RefOrder>
  </b:Source>
  <b:Source>
    <b:Tag>CrossRef_Y_3fhCKbrhw6fvvlT0WWDA</b:Tag>
    <b:SourceType>JournalArticle</b:SourceType>
    <b:Title>Factors affecting the development of school and Indigenous community engagement: A systematic review</b:Title>
    <b:Year>2019</b:Year>
    <b:Publisher>Springer Science and Business Media LLC</b:Publisher>
    <b:Author>
      <b:Author>
        <b:NameList>
          <b:Person>
            <b:Last>Lowe</b:Last>
            <b:First>Kevin</b:First>
          </b:Person>
          <b:Person>
            <b:Last>Harrison</b:Last>
            <b:First>Neil</b:First>
          </b:Person>
          <b:Person>
            <b:Last>Tennent</b:Last>
            <b:First>Christine</b:First>
          </b:Person>
          <b:Person>
            <b:Last>Guenther</b:Last>
            <b:First>John</b:First>
          </b:Person>
          <b:Person>
            <b:Last>Vass</b:Last>
            <b:First>Greg</b:First>
          </b:Person>
          <b:Person>
            <b:Last>Moodie</b:Last>
            <b:First>Nikki</b:First>
          </b:Person>
        </b:NameList>
      </b:Author>
    </b:Author>
    <b:Volume>46</b:Volume>
    <b:Pages>253-271</b:Pages>
    <b:JournalName>The Australian Educational Researcher</b:JournalName>
    <b:DOI>10.1007/s13384-019-00314-6</b:DOI>
    <b:Issue>2</b:Issue>
    <b:LCID>en-US</b:LCID>
    <b:Version>CrossRef</b:Version>
    <b:RefOrder>203</b:RefOrder>
  </b:Source>
  <b:Source>
    <b:Tag>Ayl10</b:Tag>
    <b:SourceType>JournalArticle</b:SourceType>
    <b:Guid>{D2CDC379-ED2B-4A7C-97B1-429DD32A1D07}</b:Guid>
    <b:Author>
      <b:Author>
        <b:NameList>
          <b:Person>
            <b:Last>Aylward</b:Last>
            <b:First>M.</b:First>
            <b:Middle>L.</b:Middle>
          </b:Person>
        </b:NameList>
      </b:Author>
    </b:Author>
    <b:Title>The role of Inuit languages in Nunavut schooling: Nunavut teachers talk about bilingual education</b:Title>
    <b:JournalName>Canadian Journal of Education / Revue canadienne de l'éducation</b:JournalName>
    <b:Year>2010</b:Year>
    <b:Pages>295-328</b:Pages>
    <b:Volume>33</b:Volume>
    <b:URL>https://www.jstor.org/stable/canajeducrevucan.33.2.295</b:URL>
    <b:YearAccessed>2021</b:YearAccessed>
    <b:MonthAccessed>10</b:MonthAccessed>
    <b:DayAccessed>4</b:DayAccessed>
    <b:RefOrder>204</b:RefOrder>
  </b:Source>
  <b:Source>
    <b:Tag>Sta11</b:Tag>
    <b:SourceType>Report</b:SourceType>
    <b:Guid>{11C9E8F8-EBC2-4527-80BF-73EB2F363ECB}</b:Guid>
    <b:Title>Aboriginal and Torres Strait Islander languages in Education Queensland schools. A guide to implementing the Aboriginal and Torres Strait Islander languages syllabuses. Information for principals</b:Title>
    <b:Year>2011</b:Year>
    <b:URL>https://www.qcaa.qld.edu.au/downloads/p_10/snr_atsi_languages_11_implement.pdf</b:URL>
    <b:Author>
      <b:Author>
        <b:Corporate>State of Queensland</b:Corporate>
      </b:Author>
    </b:Author>
    <b:Publisher>Department of Education and Training, Brisbane</b:Publisher>
    <b:YearAccessed>2021</b:YearAccessed>
    <b:MonthAccessed>10</b:MonthAccessed>
    <b:DayAccessed>4</b:DayAccessed>
    <b:RefOrder>205</b:RefOrder>
  </b:Source>
  <b:Source>
    <b:Tag>Gov20</b:Tag>
    <b:SourceType>JournalArticle</b:SourceType>
    <b:Guid>{C6ADB5BF-D8A7-4C1D-B877-938ECA9807D2}</b:Guid>
    <b:Title>Keeping Indigenous languages and cultures strong</b:Title>
    <b:Year>2020</b:Year>
    <b:Author>
      <b:Author>
        <b:Corporate>Northern territory Government</b:Corporate>
      </b:Author>
    </b:Author>
    <b:JournalName>Indigenous Education Strategy</b:JournalName>
    <b:Issue>15</b:Issue>
    <b:URL>https://education.nt.gov.au/statistics-research-and-strategies/indigenous-education-strategy/indigenous-education-strategy-issue-15/keeping-indigenous-languages-and-cultures-strong</b:URL>
    <b:YearAccessed>2021</b:YearAccessed>
    <b:MonthAccessed>10</b:MonthAccessed>
    <b:DayAccessed>4</b:DayAccessed>
    <b:RefOrder>206</b:RefOrder>
  </b:Source>
  <b:Source>
    <b:Tag>Sku19</b:Tag>
    <b:SourceType>Report</b:SourceType>
    <b:Guid>{3D4C7991-03ED-44B2-A082-7737BFCF9E2F}</b:Guid>
    <b:Title>Is Nunavut education criminally inadequate? An analysis of current policies for Inuktut and English in education, international and national law, linguistic and cultural genocide and crimes against humanity</b:Title>
    <b:Year>2019</b:Year>
    <b:URL>https://www.tunngavik.com/files/2019/04/NuLinguicideReportFINAL.pdf</b:URL>
    <b:Author>
      <b:Author>
        <b:NameList>
          <b:Person>
            <b:Last>Skutnabb-Kangas</b:Last>
            <b:First>T.</b:First>
          </b:Person>
          <b:Person>
            <b:Last>Phillipson</b:Last>
            <b:First>R.</b:First>
          </b:Person>
          <b:Person>
            <b:Last>Dunbar</b:Last>
            <b:First>R.</b:First>
          </b:Person>
        </b:NameList>
      </b:Author>
    </b:Author>
    <b:Publisher>Iqaluit, Nunacut Tunngavik Incorporated</b:Publisher>
    <b:YearAccessed>2021</b:YearAccessed>
    <b:MonthAccessed>10</b:MonthAccessed>
    <b:DayAccessed>4</b:DayAccessed>
    <b:RefOrder>207</b:RefOrder>
  </b:Source>
  <b:Source>
    <b:Tag>Mao12</b:Tag>
    <b:SourceType>Report</b:SourceType>
    <b:Guid>{2054FFEC-20DE-45AE-8B14-34A6101FB2AC}</b:Guid>
    <b:Author>
      <b:Author>
        <b:Corporate>Māori Medium Workforce Reference Group</b:Corporate>
      </b:Author>
    </b:Author>
    <b:Title>Report of the Māori Medium Workforce Reference Group into strengthening the Māori Medium Education Workforce</b:Title>
    <b:Year>2012</b:Year>
    <b:Publisher>Ministry of Education, Wellington</b:Publisher>
    <b:YearAccessed>2021</b:YearAccessed>
    <b:MonthAccessed>10</b:MonthAccessed>
    <b:DayAccessed>4</b:DayAccessed>
    <b:URL>http://www.educationcounts.govt.nz/publications/maori/english-medium-education/report-of-the-maori-medium-workforce-reference-group-into-strengthening-the-maori-medium-education-workforce-2012/ </b:URL>
    <b:RefOrder>208</b:RefOrder>
  </b:Source>
  <b:Source>
    <b:Tag>Ogi12</b:Tag>
    <b:SourceType>Report</b:SourceType>
    <b:Guid>{FC8572CA-FA94-4188-97B5-E4A49F76A80A}</b:Guid>
    <b:Author>
      <b:Author>
        <b:NameList>
          <b:Person>
            <b:Last>Ogivly</b:Last>
            <b:First>J.</b:First>
          </b:Person>
        </b:NameList>
      </b:Author>
    </b:Author>
    <b:Title>Analysis of Māori immersion teachers within the Ministry of Education workforce</b:Title>
    <b:Year>2012</b:Year>
    <b:Publisher>Ministry of Education, Wellington</b:Publisher>
    <b:RefOrder>209</b:RefOrder>
  </b:Source>
  <b:Source>
    <b:Tag>Wei18</b:Tag>
    <b:SourceType>Report</b:SourceType>
    <b:Guid>{C813DE2B-1C37-42D5-B3BB-106E45D2F960}</b:Guid>
    <b:Author>
      <b:Author>
        <b:NameList>
          <b:Person>
            <b:Last>Weihipeipahana</b:Last>
            <b:First>N.</b:First>
          </b:Person>
          <b:Person>
            <b:Last>Paipa</b:Last>
            <b:First>K,</b:First>
          </b:Person>
          <b:Person>
            <b:Last>Smith</b:Last>
            <b:First>R.</b:First>
          </b:Person>
        </b:NameList>
      </b:Author>
    </b:Author>
    <b:Title>Evaluation of the retention pilot programmes for Māori medium beginning teachers</b:Title>
    <b:Year>2018</b:Year>
    <b:Publisher>Ministry of Education, Wellington</b:Publisher>
    <b:RefOrder>210</b:RefOrder>
  </b:Source>
  <b:Source>
    <b:Tag>Cza17</b:Tag>
    <b:SourceType>BookSection</b:SourceType>
    <b:Guid>{51B6C9A6-72FD-4EAC-AED2-6DFC872A2375}</b:Guid>
    <b:Title>Supporting Indigenous language revitalisation through collaborative post-secondary proficiency-building curriculum</b:Title>
    <b:Year>2017</b:Year>
    <b:Author>
      <b:Author>
        <b:NameList>
          <b:Person>
            <b:Last>Czaykowska-Higgins</b:Last>
            <b:First>E.</b:First>
          </b:Person>
          <b:Person>
            <b:Last>Burton</b:Last>
            <b:First>S.</b:First>
          </b:Person>
          <b:Person>
            <b:Last>Mcivor</b:Last>
            <b:First>O.</b:First>
          </b:Person>
          <b:Person>
            <b:Last>Marinakis</b:Last>
            <b:First>A.</b:First>
          </b:Person>
        </b:NameList>
      </b:Author>
      <b:Editor>
        <b:NameList>
          <b:Person>
            <b:Last>Leonard</b:Last>
            <b:Middle>Y. </b:Middle>
            <b:First>W.</b:First>
          </b:Person>
          <b:Person>
            <b:Last>Kone</b:Last>
            <b:Middle>D.</b:Middle>
            <b:First>H.</b:First>
          </b:Person>
        </b:NameList>
      </b:Editor>
    </b:Author>
    <b:BookTitle>Language Documentation and Description</b:BookTitle>
    <b:Publisher>EL Publishing, London</b:Publisher>
    <b:RefOrder>211</b:RefOrder>
  </b:Source>
  <b:Source>
    <b:Tag>deF13</b:Tag>
    <b:SourceType>JournalArticle</b:SourceType>
    <b:Guid>{B78F0423-4952-441C-AF9D-9BFB9C70E8E6}</b:Guid>
    <b:Title>Indigenous/Aboriginal Pedagogies Restored: Courses and programs in the Faculty of Education at the University of Victoria</b:Title>
    <b:Year>2013</b:Year>
    <b:Volume>43</b:Volume>
    <b:Author>
      <b:Author>
        <b:NameList>
          <b:Person>
            <b:Last>de France</b:Last>
            <b:First>C.R.</b:First>
          </b:Person>
        </b:NameList>
      </b:Author>
    </b:Author>
    <b:JournalName>International Education</b:JournalName>
    <b:Issue>1</b:Issue>
    <b:RefOrder>212</b:RefOrder>
  </b:Source>
  <b:Source>
    <b:Tag>CrossRef_CC5KVGdLl32rAZpd50gTWA</b:Tag>
    <b:SourceType>JournalArticle</b:SourceType>
    <b:Title>Using authentic language resources to incorporate Indigenous knowledges across the Australian Curriculum</b:Title>
    <b:Year>2016</b:Year>
    <b:Publisher>Northern Institute</b:Publisher>
    <b:Author>
      <b:Author>
        <b:NameList>
          <b:Person>
            <b:Last>Bow</b:Last>
            <b:First>C.</b:First>
          </b:Person>
        </b:NameList>
      </b:Author>
    </b:Author>
    <b:Volume>20</b:Volume>
    <b:Pages>20-39</b:Pages>
    <b:JournalName>Learning Communities: International Journal of Learning in Social Contexts (Special Issue: New Connections in Education Research)</b:JournalName>
    <b:DOI>10.18793/lcj2016.20.03</b:DOI>
    <b:LCID>en-US</b:LCID>
    <b:Version>CrossRef</b:Version>
    <b:Guid>{B1828290-3D74-4E51-A842-0EE5872E1C17}</b:Guid>
    <b:RefOrder>213</b:RefOrder>
  </b:Source>
  <b:Source>
    <b:Tag>Bow14</b:Tag>
    <b:SourceType>JournalArticle</b:SourceType>
    <b:Guid>{8DAEE5AF-D1F3-4E8F-AF1D-470B05B9A253}</b:Guid>
    <b:Title>Developing a living archive of Aboriginal languages</b:Title>
    <b:JournalName>Language Documentation and Conservation</b:JournalName>
    <b:Year>2014</b:Year>
    <b:Pages>347-353</b:Pages>
    <b:Volume>8</b:Volume>
    <b:URL>http://hdl.handle.net/10125/24612</b:URL>
    <b:Author>
      <b:Author>
        <b:NameList>
          <b:Person>
            <b:Last>Bow</b:Last>
            <b:First>C.</b:First>
          </b:Person>
          <b:Person>
            <b:Last>Christie</b:Last>
            <b:First>M.</b:First>
          </b:Person>
          <b:Person>
            <b:Last>Devlin</b:Last>
            <b:First>B.</b:First>
          </b:Person>
        </b:NameList>
      </b:Author>
    </b:Author>
    <b:YearAccessed>2021</b:YearAccessed>
    <b:MonthAccessed>10</b:MonthAccessed>
    <b:DayAccessed>4</b:DayAccessed>
    <b:RefOrder>214</b:RefOrder>
  </b:Source>
  <b:Source>
    <b:Tag>Bow17</b:Tag>
    <b:SourceType>BookSection</b:SourceType>
    <b:Guid>{A16B4694-B4B8-42E6-A5B5-56F3BC36642E}</b:Guid>
    <b:Title>Digital Futures for Bilingual Books</b:Title>
    <b:Year>2017</b:Year>
    <b:Pages>347-353</b:Pages>
    <b:Author>
      <b:Author>
        <b:NameList>
          <b:Person>
            <b:Last>Bow</b:Last>
            <b:First>C.</b:First>
          </b:Person>
          <b:Person>
            <b:Last>Christie</b:Last>
            <b:First>M.</b:First>
          </b:Person>
          <b:Person>
            <b:Last>Devlin</b:Last>
            <b:First>B.</b:First>
          </b:Person>
        </b:NameList>
      </b:Author>
      <b:Editor>
        <b:NameList>
          <b:Person>
            <b:Last>Devlin</b:Last>
            <b:First>B.</b:First>
          </b:Person>
          <b:Person>
            <b:Last>Disbray</b:Last>
            <b:First>S.</b:First>
          </b:Person>
          <b:Person>
            <b:Last>Devlin</b:Last>
            <b:First>N. </b:First>
          </b:Person>
        </b:NameList>
      </b:Editor>
    </b:Author>
    <b:BookTitle>History of Bilingual Education in the Northern Territory: People, Programs and Policies</b:BookTitle>
    <b:Publisher>Springer, Singapore</b:Publisher>
    <b:Medium>Book chapter</b:Medium>
    <b:RefOrder>215</b:RefOrder>
  </b:Source>
  <b:Source>
    <b:Tag>Dev15</b:Tag>
    <b:SourceType>BookSection</b:SourceType>
    <b:Guid>{3D4ADB03-3150-41E7-80B9-0E75562E49E6}</b:Guid>
    <b:Title>Digital technologies and language resources – finding common ground</b:Title>
    <b:BookTitle>Finding the Common Ground: Narratives, Provocations and Reflections from the 40 Year Celebration of Batchelor Institute</b:BookTitle>
    <b:Year>2015</b:Year>
    <b:Publisher>Batchelor Press, Batchelor NT</b:Publisher>
    <b:Medium>Book chapter</b:Medium>
    <b:Author>
      <b:Author>
        <b:NameList>
          <b:Person>
            <b:Last>Devlin</b:Last>
            <b:First>B.</b:First>
          </b:Person>
          <b:Person>
            <b:Last>Bow</b:Last>
            <b:First>C.</b:First>
          </b:Person>
          <b:Person>
            <b:Last>Purdon</b:Last>
            <b:First>A.</b:First>
          </b:Person>
          <b:Person>
            <b:Last>Klesch</b:Last>
            <b:First>M.</b:First>
          </b:Person>
        </b:NameList>
      </b:Author>
      <b:Editor>
        <b:NameList>
          <b:Person>
            <b:Last>Huijser</b:Last>
            <b:First>H.</b:First>
          </b:Person>
          <b:Person>
            <b:Last>Ober</b:Last>
            <b:First>Robyn</b:First>
          </b:Person>
          <b:Person>
            <b:Last>O'Sullivan</b:Last>
            <b:First>Sandy</b:First>
          </b:Person>
          <b:Person>
            <b:Last>McRae-Williams</b:Last>
            <b:First>Eva</b:First>
          </b:Person>
          <b:Person>
            <b:Last>Elvin</b:Last>
            <b:First>Ruth</b:First>
          </b:Person>
        </b:NameList>
      </b:Editor>
    </b:Author>
    <b:Pages>85-89</b:Pages>
    <b:RefOrder>216</b:RefOrder>
  </b:Source>
  <b:Source>
    <b:Tag>Poe19</b:Tag>
    <b:SourceType>JournalArticle</b:SourceType>
    <b:Guid>{137ADE89-EBA8-46BE-B9A9-871F6F9C98B5}</b:Guid>
    <b:Title>Learning and teaching Gumbaynggirr through story: Behind the scenes of professional learning workshops for teachers of an Aboriginal language</b:Title>
    <b:Year>2019</b:Year>
    <b:Volume>13</b:Volume>
    <b:Author>
      <b:Author>
        <b:NameList>
          <b:Person>
            <b:Last>Poetsch</b:Last>
            <b:First>D.</b:First>
          </b:Person>
          <b:Person>
            <b:Last>Jarrett</b:Last>
            <b:First>M.</b:First>
          </b:Person>
          <b:Person>
            <b:Last>Angelo</b:Last>
            <b:First>D.</b:First>
          </b:Person>
        </b:NameList>
      </b:Author>
    </b:Author>
    <b:JournalName>Language Documentation and Conservation</b:JournalName>
    <b:RefOrder>217</b:RefOrder>
  </b:Source>
  <b:Source>
    <b:Tag>Ang193</b:Tag>
    <b:SourceType>Report</b:SourceType>
    <b:Guid>{F78F8286-9E50-47F2-922E-B2987F1C37D0}</b:Guid>
    <b:Title>Submission 76 to the Productivity Commission Indigenous Evaluation Strategy</b:Title>
    <b:Year>2019</b:Year>
    <b:URL>https://www.pc.gov.au/__data/assets/pdf_file/0020/244901/sub076-indigenous-evaluation.pdf</b:URL>
    <b:Author>
      <b:Author>
        <b:NameList>
          <b:Person>
            <b:Last>Angelo</b:Last>
            <b:First>D.</b:First>
          </b:Person>
          <b:Person>
            <b:Last>Hudson</b:Last>
            <b:First>C.</b:First>
          </b:Person>
          <b:Person>
            <b:Last>Macqueen</b:Last>
            <b:First>S.</b:First>
          </b:Person>
        </b:NameList>
      </b:Author>
    </b:Author>
    <b:YearAccessed>2021</b:YearAccessed>
    <b:MonthAccessed>10</b:MonthAccessed>
    <b:DayAccessed>4</b:DayAccessed>
    <b:RefOrder>218</b:RefOrder>
  </b:Source>
  <b:Source>
    <b:Tag>Can15</b:Tag>
    <b:SourceType>Report</b:SourceType>
    <b:Guid>{167FF97C-29FF-42E9-A729-5BC3AA3DCE64}</b:Guid>
    <b:Title>Honouring the truth, reconciling for the future: summary of the final report of the Truth and Reconciliation Commission of Canada</b:Title>
    <b:Year>2015</b:Year>
    <b:Author>
      <b:Author>
        <b:Corporate>Truth and Reconciliation Commission of Canada</b:Corporate>
      </b:Author>
    </b:Author>
    <b:Publisher>Winnipeg</b:Publisher>
    <b:YearAccessed>2021</b:YearAccessed>
    <b:MonthAccessed>10</b:MonthAccessed>
    <b:DayAccessed>25</b:DayAccessed>
    <b:URL>https://ehprnh2mwo3.exactdn.com/wp-content/uploads/2021/01/Executive_Summary_English_Web.pdf </b:URL>
    <b:RefOrder>17</b:RefOrder>
  </b:Source>
  <b:Source>
    <b:Tag>Sta16</b:Tag>
    <b:SourceType>Report</b:SourceType>
    <b:Guid>{99AACBEF-CDED-4CF4-A653-27AD1868C399}</b:Guid>
    <b:Title>The Aboriginal languages of First Nations people, Meìtis and Inuit. Census of Population 2016</b:Title>
    <b:Year>2016</b:Year>
    <b:Author>
      <b:Author>
        <b:Corporate>Statistics Canada</b:Corporate>
      </b:Author>
    </b:Author>
    <b:YearAccessed>2021</b:YearAccessed>
    <b:MonthAccessed>10</b:MonthAccessed>
    <b:DayAccessed>25</b:DayAccessed>
    <b:URL>https://www12.statcan.gc.ca/census-recensement/2016/as-sa/98-200-x/2016022/98-200-x2016022-eng.pdf</b:URL>
    <b:RefOrder>18</b:RefOrder>
  </b:Source>
  <b:Source>
    <b:Tag>Tru151</b:Tag>
    <b:SourceType>Report</b:SourceType>
    <b:Guid>{4F2ABD8C-F142-47B5-900B-CC7A8A71FC67}</b:Guid>
    <b:Author>
      <b:Author>
        <b:Corporate>Truth and Reconciliation Commission of Canada</b:Corporate>
      </b:Author>
    </b:Author>
    <b:Title>Calls to action</b:Title>
    <b:Year>2015</b:Year>
    <b:Publisher>TRCC, Winnipeg</b:Publisher>
    <b:YearAccessed>2021</b:YearAccessed>
    <b:MonthAccessed>10</b:MonthAccessed>
    <b:DayAccessed>25</b:DayAccessed>
    <b:URL>https://ehprnh2mwo3.exactdn.com/wp-content/uploads/2021/01/Calls_to_Action_English2.pdf</b:URL>
    <b:RefOrder>19</b:RefOrder>
  </b:Source>
  <b:Source>
    <b:Tag>Wai86</b:Tag>
    <b:SourceType>Report</b:SourceType>
    <b:Guid>{754415B3-E51F-4716-8FCD-ABE4CD229D60}</b:Guid>
    <b:Author>
      <b:Author>
        <b:Corporate>Waitangi Tribunal</b:Corporate>
      </b:Author>
    </b:Author>
    <b:Title>Report of the Waitangi Tribunal on the te reo Māori claim</b:Title>
    <b:Year>1986</b:Year>
    <b:Publisher>Department of Justice, Wellington</b:Publisher>
    <b:YearAccessed>2021</b:YearAccessed>
    <b:MonthAccessed>10</b:MonthAccessed>
    <b:DayAccessed>25</b:DayAccessed>
    <b:URL>https://forms.justice.govt.nz/search/WT/reports/reportSummary.html?reportId=wt_DOC_68482156</b:URL>
    <b:RefOrder>22</b:RefOrder>
  </b:Source>
  <b:Source>
    <b:Tag>Ost14</b:Tag>
    <b:SourceType>JournalArticle</b:SourceType>
    <b:Guid>{6F101098-7D27-4D48-9F50-86D184B80D69}</b:Guid>
    <b:Title>Cultural continuity, traditional Indigenous language, and diabetes in Alberta First Nations: A mixed methods study</b:Title>
    <b:Year>2014</b:Year>
    <b:Author>
      <b:Author>
        <b:NameList>
          <b:Person>
            <b:Last>Oster</b:Last>
            <b:First>R.</b:First>
            <b:Middle>T.</b:Middle>
          </b:Person>
          <b:Person>
            <b:Last>Grier</b:Last>
            <b:First>A.</b:First>
          </b:Person>
          <b:Person>
            <b:Last>Lightning</b:Last>
            <b:First>R.</b:First>
          </b:Person>
          <b:Person>
            <b:Last>Mayan</b:Last>
            <b:First>M.</b:First>
            <b:Middle>J.</b:Middle>
          </b:Person>
          <b:Person>
            <b:Last>Toth</b:Last>
            <b:First>E.</b:First>
            <b:Middle>L.</b:Middle>
          </b:Person>
        </b:NameList>
      </b:Author>
    </b:Author>
    <b:JournalName>International Journal for Equity in Health</b:JournalName>
    <b:Pages>1-12</b:Pages>
    <b:Volume>13</b:Volume>
    <b:DOI>https://doi.org/10.1186/s12939-014-0092-4</b:DOI>
    <b:RefOrder>24</b:RefOrder>
  </b:Source>
  <b:Source>
    <b:Tag>Gri09</b:Tag>
    <b:SourceType>Report</b:SourceType>
    <b:Guid>{E1FF2FDD-A087-4124-A843-682620A21C1D}</b:Guid>
    <b:Author>
      <b:Author>
        <b:NameList>
          <b:Person>
            <b:Last>Grieves</b:Last>
            <b:First>V.</b:First>
          </b:Person>
        </b:NameList>
      </b:Author>
    </b:Author>
    <b:Title>Aboriginal spirituality: Aboriginal philosophy, the basis of Aboriginal social and emotional wellbeing</b:Title>
    <b:Year>2009</b:Year>
    <b:Publisher>Cooperative Research Centre for Aboriginal Health, Casuarina, NT</b:Publisher>
    <b:URL>https://www.lowitja.org.au/content/Document/Lowitja-Publishing/DP9-Aboriginal-Spirituality.pdf</b:URL>
    <b:YearAccessed>2021</b:YearAccessed>
    <b:MonthAccessed>10</b:MonthAccessed>
    <b:DayAccessed>25</b:DayAccessed>
    <b:RefOrder>28</b:RefOrder>
  </b:Source>
  <b:Source>
    <b:Tag>Kim11</b:Tag>
    <b:SourceType>Report</b:SourceType>
    <b:Guid>{F7D98DB3-8847-4FE2-AE9F-6E68A2E3DFBE}</b:Guid>
    <b:Title>Celebrating 25 years of keeping language strong</b:Title>
    <b:Year>2011</b:Year>
    <b:Author>
      <b:Author>
        <b:Corporate>Kimberley Language Resource Centre</b:Corporate>
      </b:Author>
    </b:Author>
    <b:YearAccessed>2021</b:YearAccessed>
    <b:MonthAccessed>10</b:MonthAccessed>
    <b:DayAccessed>25</b:DayAccessed>
    <b:URL>https://klrc.org.au/wp-content/uploads/2020/07/KLRC_Website_Newsletter_Single_Pages.pdf</b:URL>
    <b:RefOrder>30</b:RefOrder>
  </b:Source>
  <b:Source>
    <b:Tag>Wil11</b:Tag>
    <b:SourceType>Book</b:SourceType>
    <b:Guid>{4DE4677B-7994-4110-8FFA-78F7FB664A8B}</b:Guid>
    <b:Title>The importance of teaching and learning Aboriginal languages and cultures. The triangularity between language and culture, educational engagement and community cultural health and wellbeing</b:Title>
    <b:Year>2011</b:Year>
    <b:Publisher>Aboriginal Affairs, Surrey Hills NSW</b:Publisher>
    <b:Author>
      <b:Author>
        <b:NameList>
          <b:Person>
            <b:Last>Williams</b:Last>
            <b:First>S.</b:First>
          </b:Person>
        </b:NameList>
      </b:Author>
    </b:Author>
    <b:URL>https://www.aboriginalaffairs.nsw.gov.au/media/website_pages/research-and-publications/completed-research-and-evaluation/importance-of-teaching-learning-aboriginal-languages-cultures.pdf</b:URL>
    <b:YearAccessed>2021</b:YearAccessed>
    <b:MonthAccessed>10</b:MonthAccessed>
    <b:DayAccessed>25</b:DayAccessed>
    <b:RefOrder>33</b:RefOrder>
  </b:Source>
</b:Sources>
</file>

<file path=customXml/itemProps1.xml><?xml version="1.0" encoding="utf-8"?>
<ds:datastoreItem xmlns:ds="http://schemas.openxmlformats.org/officeDocument/2006/customXml" ds:itemID="{FC2CBC10-D740-41DF-BDE3-587117EED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 Author ODPub.dotx</Template>
  <TotalTime>9</TotalTime>
  <Pages>105</Pages>
  <Words>48479</Words>
  <Characters>273912</Characters>
  <Application>Microsoft Office Word</Application>
  <DocSecurity>0</DocSecurity>
  <Lines>17119</Lines>
  <Paragraphs>9211</Paragraphs>
  <ScaleCrop>false</ScaleCrop>
  <HeadingPairs>
    <vt:vector size="2" baseType="variant">
      <vt:variant>
        <vt:lpstr>Title</vt:lpstr>
      </vt:variant>
      <vt:variant>
        <vt:i4>1</vt:i4>
      </vt:variant>
    </vt:vector>
  </HeadingPairs>
  <TitlesOfParts>
    <vt:vector size="1" baseType="lpstr">
      <vt:lpstr>Learning in Indigenous Languages: Common Ground, Diverse Pathways</vt:lpstr>
    </vt:vector>
  </TitlesOfParts>
  <Company>OECD</Company>
  <LinksUpToDate>false</LinksUpToDate>
  <CharactersWithSpaces>313180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in Indigenous Languages: Common Ground, Diverse Pathways</dc:title>
  <dc:subject>OECD Education Working Paper No. XXX</dc:subject>
  <dc:creator>VARKKI Hanna</dc:creator>
  <cp:keywords>DOCUMENT CODE</cp:keywords>
  <dc:description/>
  <cp:lastModifiedBy>PHAIR Rowena, EDU/ECS</cp:lastModifiedBy>
  <cp:revision>3</cp:revision>
  <dcterms:created xsi:type="dcterms:W3CDTF">2022-02-15T13:30:00Z</dcterms:created>
  <dcterms:modified xsi:type="dcterms:W3CDTF">2022-03-07T15:13:00Z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emplateVersion">
    <vt:lpwstr>3.20</vt:lpwstr>
  </property>
  <property fmtid="{D5CDD505-2E9C-101B-9397-08002B2CF9AE}" pid="3" name="OECDTemplateVersionOriginal">
    <vt:lpwstr>3.20</vt:lpwstr>
  </property>
  <property fmtid="{D5CDD505-2E9C-101B-9397-08002B2CF9AE}" pid="4" name="OECDTemplateName">
    <vt:lpwstr>ONE Author ODPub.dotx</vt:lpwstr>
  </property>
  <property fmtid="{D5CDD505-2E9C-101B-9397-08002B2CF9AE}" pid="5" name="OECDTemplateLocation">
    <vt:lpwstr>W:\Office2016\Workgroup Templates</vt:lpwstr>
  </property>
  <property fmtid="{D5CDD505-2E9C-101B-9397-08002B2CF9AE}" pid="6" name="OECDDocumentId">
    <vt:lpwstr>2603DF95C6E526E2240BC601895522DDDF053B6C4D12C069DAEF8C76CC1E788C</vt:lpwstr>
  </property>
  <property fmtid="{D5CDD505-2E9C-101B-9397-08002B2CF9AE}" pid="7" name="OecdDocumentCoteLangHash">
    <vt:lpwstr>1137AE11EAB68465BDF0533F7579FB415C7CF4CC643914F673A5A3A958D67042</vt:lpwstr>
  </property>
  <property fmtid="{D5CDD505-2E9C-101B-9397-08002B2CF9AE}" pid="8" name="OECDKappaEnrichment">
    <vt:lpwstr>Online</vt:lpwstr>
  </property>
  <property fmtid="{D5CDD505-2E9C-101B-9397-08002B2CF9AE}" pid="9" name="OECDDocumentValidationErrors">
    <vt:lpwstr>1</vt:lpwstr>
  </property>
  <property fmtid="{D5CDD505-2E9C-101B-9397-08002B2CF9AE}" pid="10" name="OECDDocumentValidationWarnings">
    <vt:lpwstr>0</vt:lpwstr>
  </property>
  <property fmtid="{D5CDD505-2E9C-101B-9397-08002B2CF9AE}" pid="11" name="OECDDocumentValidationWordCount">
    <vt:lpwstr>58972</vt:lpwstr>
  </property>
  <property fmtid="{D5CDD505-2E9C-101B-9397-08002B2CF9AE}" pid="12" name="OECDDocumentValidationDate">
    <vt:lpwstr>02/15/2022 13:27:34</vt:lpwstr>
  </property>
  <property fmtid="{D5CDD505-2E9C-101B-9397-08002B2CF9AE}" pid="13" name="OECDDocumentCote">
    <vt:lpwstr>DOCUMENT CODE</vt:lpwstr>
  </property>
  <property fmtid="{D5CDD505-2E9C-101B-9397-08002B2CF9AE}" pid="14" name="OECDDocumentDirectorate">
    <vt:lpwstr/>
  </property>
  <property fmtid="{D5CDD505-2E9C-101B-9397-08002B2CF9AE}" pid="15" name="OECDDocumentCommittee">
    <vt:lpwstr/>
  </property>
  <property fmtid="{D5CDD505-2E9C-101B-9397-08002B2CF9AE}" pid="16" name="OECDDocumentWorkingParty">
    <vt:lpwstr/>
  </property>
  <property fmtid="{D5CDD505-2E9C-101B-9397-08002B2CF9AE}" pid="17" name="OECDDocumentClassification">
    <vt:lpwstr>Unclassified</vt:lpwstr>
  </property>
  <property fmtid="{D5CDD505-2E9C-101B-9397-08002B2CF9AE}" pid="18" name="OECDDocumentDocumentAbstract">
    <vt:lpwstr>Information Note: Use this area to provide a brief summary of the document or highlight any important information. This text will be displayed on the document page in O.N.E for Members and Partners.</vt:lpwstr>
  </property>
  <property fmtid="{D5CDD505-2E9C-101B-9397-08002B2CF9AE}" pid="19" name="OECDDocumentContactInfo">
    <vt:lpwstr>Rowena  Phair, Rowena.Phair@oecd.org</vt:lpwstr>
  </property>
  <property fmtid="{D5CDD505-2E9C-101B-9397-08002B2CF9AE}" pid="20" name="OECDDocumentDocumentLanguage">
    <vt:lpwstr>English text only</vt:lpwstr>
  </property>
  <property fmtid="{D5CDD505-2E9C-101B-9397-08002B2CF9AE}" pid="21" name="OECDDocumentOriginalLanguage">
    <vt:lpwstr>English</vt:lpwstr>
  </property>
</Properties>
</file>